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194AA6" w:rsidRDefault="00193F10" w:rsidP="00194AA6">
      <w:pPr>
        <w:jc w:val="center"/>
        <w:rPr>
          <w:sz w:val="22"/>
          <w:szCs w:val="22"/>
        </w:rPr>
      </w:pPr>
    </w:p>
    <w:p w:rsidR="00193F10" w:rsidRDefault="0087009A" w:rsidP="00194AA6">
      <w:pPr>
        <w:jc w:val="center"/>
      </w:pPr>
      <w:r>
        <w:rPr>
          <w:noProof/>
        </w:rPr>
        <w:drawing>
          <wp:inline distT="0" distB="0" distL="0" distR="0">
            <wp:extent cx="1711960" cy="1122045"/>
            <wp:effectExtent l="19050" t="0" r="254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cstate="print"/>
                    <a:srcRect/>
                    <a:stretch>
                      <a:fillRect/>
                    </a:stretch>
                  </pic:blipFill>
                  <pic:spPr bwMode="auto">
                    <a:xfrm>
                      <a:off x="0" y="0"/>
                      <a:ext cx="1711960" cy="1122045"/>
                    </a:xfrm>
                    <a:prstGeom prst="rect">
                      <a:avLst/>
                    </a:prstGeom>
                    <a:noFill/>
                    <a:ln w="9525">
                      <a:noFill/>
                      <a:miter lim="800000"/>
                      <a:headEnd/>
                      <a:tailEnd/>
                    </a:ln>
                  </pic:spPr>
                </pic:pic>
              </a:graphicData>
            </a:graphic>
          </wp:inline>
        </w:drawing>
      </w:r>
    </w:p>
    <w:p w:rsidR="001771DC" w:rsidRPr="00194AA6" w:rsidRDefault="001771DC" w:rsidP="00194AA6">
      <w:pPr>
        <w:jc w:val="center"/>
        <w:rPr>
          <w:sz w:val="22"/>
          <w:szCs w:val="22"/>
        </w:rPr>
      </w:pPr>
    </w:p>
    <w:p w:rsidR="00193F10" w:rsidRPr="00194AA6" w:rsidRDefault="00193F10" w:rsidP="00194AA6">
      <w:pPr>
        <w:pStyle w:val="Heading3"/>
        <w:rPr>
          <w:b/>
          <w:sz w:val="22"/>
          <w:szCs w:val="22"/>
        </w:rPr>
      </w:pPr>
      <w:r w:rsidRPr="00194AA6">
        <w:rPr>
          <w:b/>
          <w:sz w:val="22"/>
          <w:szCs w:val="22"/>
        </w:rPr>
        <w:t>TECHNICAL EVALUATION</w:t>
      </w:r>
    </w:p>
    <w:p w:rsidR="00193F10" w:rsidRPr="00194AA6" w:rsidRDefault="00193F10" w:rsidP="00194AA6">
      <w:pPr>
        <w:jc w:val="center"/>
        <w:rPr>
          <w:b/>
          <w:sz w:val="22"/>
          <w:szCs w:val="22"/>
        </w:rPr>
      </w:pPr>
      <w:r w:rsidRPr="00194AA6">
        <w:rPr>
          <w:b/>
          <w:sz w:val="22"/>
          <w:szCs w:val="22"/>
        </w:rPr>
        <w:t>&amp;</w:t>
      </w:r>
    </w:p>
    <w:p w:rsidR="00193F10" w:rsidRPr="00194AA6" w:rsidRDefault="00193F10" w:rsidP="00194AA6">
      <w:pPr>
        <w:jc w:val="center"/>
        <w:rPr>
          <w:b/>
          <w:sz w:val="22"/>
          <w:szCs w:val="22"/>
        </w:rPr>
      </w:pPr>
      <w:r w:rsidRPr="00194AA6">
        <w:rPr>
          <w:b/>
          <w:sz w:val="22"/>
          <w:szCs w:val="22"/>
        </w:rPr>
        <w:t>PRELIMINARY DETERMINATION</w:t>
      </w: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3F10" w:rsidRPr="00194AA6" w:rsidRDefault="00193F10" w:rsidP="00194AA6">
      <w:pPr>
        <w:jc w:val="center"/>
        <w:rPr>
          <w:sz w:val="22"/>
          <w:szCs w:val="22"/>
        </w:rPr>
      </w:pPr>
    </w:p>
    <w:p w:rsidR="00194AA6" w:rsidRPr="00194AA6" w:rsidRDefault="00194AA6" w:rsidP="00194AA6">
      <w:pPr>
        <w:pStyle w:val="Heading4"/>
        <w:spacing w:after="120"/>
        <w:rPr>
          <w:bCs/>
          <w:szCs w:val="22"/>
        </w:rPr>
      </w:pPr>
      <w:r w:rsidRPr="00194AA6">
        <w:rPr>
          <w:bCs/>
          <w:szCs w:val="22"/>
        </w:rPr>
        <w:t>APPLICANT</w:t>
      </w:r>
    </w:p>
    <w:p w:rsidR="00194AA6" w:rsidRDefault="00F35021" w:rsidP="00194AA6">
      <w:pPr>
        <w:widowControl w:val="0"/>
        <w:jc w:val="center"/>
        <w:rPr>
          <w:sz w:val="22"/>
          <w:szCs w:val="22"/>
        </w:rPr>
      </w:pPr>
      <w:r>
        <w:rPr>
          <w:sz w:val="22"/>
          <w:szCs w:val="22"/>
        </w:rPr>
        <w:t>JEA</w:t>
      </w:r>
    </w:p>
    <w:p w:rsidR="00194AA6" w:rsidRPr="00634F21" w:rsidRDefault="00F35021" w:rsidP="00194AA6">
      <w:pPr>
        <w:widowControl w:val="0"/>
        <w:jc w:val="center"/>
        <w:rPr>
          <w:sz w:val="22"/>
          <w:szCs w:val="22"/>
        </w:rPr>
      </w:pPr>
      <w:r>
        <w:rPr>
          <w:sz w:val="22"/>
          <w:szCs w:val="22"/>
        </w:rPr>
        <w:t>21 West Church Street</w:t>
      </w:r>
    </w:p>
    <w:p w:rsidR="00194AA6" w:rsidRPr="00746205" w:rsidRDefault="00F35021" w:rsidP="00194AA6">
      <w:pPr>
        <w:widowControl w:val="0"/>
        <w:jc w:val="center"/>
        <w:rPr>
          <w:sz w:val="22"/>
          <w:szCs w:val="22"/>
        </w:rPr>
      </w:pPr>
      <w:r>
        <w:rPr>
          <w:sz w:val="22"/>
          <w:szCs w:val="22"/>
        </w:rPr>
        <w:t>Jacksonville</w:t>
      </w:r>
      <w:r w:rsidR="00194AA6" w:rsidRPr="00634F21">
        <w:rPr>
          <w:sz w:val="22"/>
          <w:szCs w:val="22"/>
        </w:rPr>
        <w:t xml:space="preserve">, </w:t>
      </w:r>
      <w:r w:rsidR="00B2762F" w:rsidRPr="00634F21">
        <w:rPr>
          <w:sz w:val="22"/>
          <w:szCs w:val="22"/>
        </w:rPr>
        <w:t xml:space="preserve">Florida </w:t>
      </w:r>
      <w:r>
        <w:rPr>
          <w:sz w:val="22"/>
          <w:szCs w:val="22"/>
        </w:rPr>
        <w:t>32202</w:t>
      </w:r>
    </w:p>
    <w:p w:rsidR="00194AA6" w:rsidRDefault="00194AA6" w:rsidP="00194AA6">
      <w:pPr>
        <w:widowControl w:val="0"/>
        <w:jc w:val="center"/>
        <w:rPr>
          <w:sz w:val="22"/>
          <w:szCs w:val="22"/>
          <w:highlight w:val="yellow"/>
        </w:rPr>
      </w:pPr>
    </w:p>
    <w:p w:rsidR="00194AA6" w:rsidRPr="00746205" w:rsidRDefault="00F35021" w:rsidP="00194AA6">
      <w:pPr>
        <w:widowControl w:val="0"/>
        <w:jc w:val="center"/>
        <w:rPr>
          <w:sz w:val="22"/>
          <w:szCs w:val="22"/>
        </w:rPr>
      </w:pPr>
      <w:r>
        <w:rPr>
          <w:sz w:val="22"/>
          <w:szCs w:val="22"/>
        </w:rPr>
        <w:t>Northside Generating Station</w:t>
      </w:r>
    </w:p>
    <w:p w:rsidR="00194AA6" w:rsidRDefault="00194AA6" w:rsidP="00194AA6">
      <w:pPr>
        <w:widowControl w:val="0"/>
        <w:jc w:val="center"/>
        <w:rPr>
          <w:sz w:val="22"/>
          <w:szCs w:val="22"/>
        </w:rPr>
      </w:pPr>
      <w:r w:rsidRPr="00746205">
        <w:rPr>
          <w:sz w:val="22"/>
          <w:szCs w:val="22"/>
        </w:rPr>
        <w:t xml:space="preserve">Facility ID No. </w:t>
      </w:r>
      <w:r w:rsidR="00F35021">
        <w:rPr>
          <w:sz w:val="22"/>
          <w:szCs w:val="22"/>
        </w:rPr>
        <w:t>0310045</w:t>
      </w:r>
    </w:p>
    <w:p w:rsidR="00194AA6" w:rsidRPr="00194AA6" w:rsidRDefault="00194AA6" w:rsidP="00194AA6">
      <w:pPr>
        <w:jc w:val="center"/>
        <w:rPr>
          <w:sz w:val="22"/>
        </w:rPr>
      </w:pPr>
    </w:p>
    <w:p w:rsidR="00194AA6" w:rsidRPr="00194AA6" w:rsidRDefault="00194AA6" w:rsidP="00194AA6">
      <w:pPr>
        <w:jc w:val="center"/>
        <w:rPr>
          <w:sz w:val="22"/>
        </w:rPr>
      </w:pPr>
    </w:p>
    <w:p w:rsidR="00194AA6" w:rsidRPr="00194AA6" w:rsidRDefault="00194AA6" w:rsidP="00194AA6">
      <w:pPr>
        <w:jc w:val="center"/>
        <w:rPr>
          <w:sz w:val="22"/>
        </w:rPr>
      </w:pPr>
    </w:p>
    <w:p w:rsidR="00193F10" w:rsidRDefault="00193F10" w:rsidP="00194AA6">
      <w:pPr>
        <w:pStyle w:val="Heading4"/>
        <w:spacing w:after="120"/>
        <w:rPr>
          <w:bCs/>
        </w:rPr>
      </w:pPr>
      <w:r>
        <w:rPr>
          <w:bCs/>
        </w:rPr>
        <w:t>PROJECT</w:t>
      </w:r>
    </w:p>
    <w:p w:rsidR="00193F10" w:rsidRDefault="00193F10" w:rsidP="00194AA6">
      <w:pPr>
        <w:pStyle w:val="Heading1"/>
        <w:spacing w:after="0"/>
        <w:ind w:left="0"/>
        <w:jc w:val="center"/>
        <w:rPr>
          <w:sz w:val="22"/>
        </w:rPr>
      </w:pPr>
      <w:r>
        <w:rPr>
          <w:sz w:val="22"/>
        </w:rPr>
        <w:t>P</w:t>
      </w:r>
      <w:r w:rsidR="00194AA6">
        <w:rPr>
          <w:sz w:val="22"/>
        </w:rPr>
        <w:t>roject</w:t>
      </w:r>
      <w:r>
        <w:rPr>
          <w:sz w:val="22"/>
        </w:rPr>
        <w:t xml:space="preserve"> </w:t>
      </w:r>
      <w:r w:rsidRPr="00634F21">
        <w:rPr>
          <w:sz w:val="22"/>
        </w:rPr>
        <w:t xml:space="preserve">No. </w:t>
      </w:r>
      <w:r w:rsidR="00F35021">
        <w:rPr>
          <w:sz w:val="22"/>
        </w:rPr>
        <w:t>0310045</w:t>
      </w:r>
      <w:r w:rsidR="008603FF" w:rsidRPr="00634F21">
        <w:rPr>
          <w:sz w:val="22"/>
        </w:rPr>
        <w:t>-</w:t>
      </w:r>
      <w:r w:rsidR="00B2762F" w:rsidRPr="00634F21">
        <w:rPr>
          <w:sz w:val="22"/>
        </w:rPr>
        <w:t>0</w:t>
      </w:r>
      <w:r w:rsidR="00F35021">
        <w:rPr>
          <w:sz w:val="22"/>
        </w:rPr>
        <w:t>40</w:t>
      </w:r>
      <w:r w:rsidR="008603FF" w:rsidRPr="00634F21">
        <w:rPr>
          <w:sz w:val="22"/>
        </w:rPr>
        <w:t>-AC</w:t>
      </w:r>
    </w:p>
    <w:p w:rsidR="00194AA6" w:rsidRDefault="00194AA6" w:rsidP="00194AA6">
      <w:pPr>
        <w:jc w:val="center"/>
        <w:rPr>
          <w:sz w:val="22"/>
        </w:rPr>
      </w:pPr>
      <w:r>
        <w:rPr>
          <w:sz w:val="22"/>
        </w:rPr>
        <w:t xml:space="preserve">Application for </w:t>
      </w:r>
      <w:r w:rsidR="008603FF">
        <w:rPr>
          <w:sz w:val="22"/>
        </w:rPr>
        <w:t xml:space="preserve">Minor Source </w:t>
      </w:r>
      <w:r>
        <w:rPr>
          <w:sz w:val="22"/>
        </w:rPr>
        <w:t>Air Construction Permit</w:t>
      </w:r>
    </w:p>
    <w:p w:rsidR="00193F10" w:rsidRPr="001D487F" w:rsidRDefault="00F35021" w:rsidP="00194AA6">
      <w:pPr>
        <w:jc w:val="center"/>
        <w:rPr>
          <w:sz w:val="22"/>
        </w:rPr>
      </w:pPr>
      <w:r>
        <w:rPr>
          <w:sz w:val="22"/>
        </w:rPr>
        <w:t>N</w:t>
      </w:r>
      <w:r w:rsidR="009441F5">
        <w:rPr>
          <w:sz w:val="22"/>
        </w:rPr>
        <w:t>orthside Generating Station, By</w:t>
      </w:r>
      <w:r>
        <w:rPr>
          <w:sz w:val="22"/>
        </w:rPr>
        <w:t>product Reuse Project</w:t>
      </w:r>
    </w:p>
    <w:p w:rsidR="00193F10" w:rsidRDefault="00193F10" w:rsidP="00194AA6">
      <w:pPr>
        <w:jc w:val="center"/>
        <w:rPr>
          <w:sz w:val="22"/>
        </w:rPr>
      </w:pPr>
    </w:p>
    <w:p w:rsidR="00193F10" w:rsidRDefault="00193F10" w:rsidP="00194AA6">
      <w:pPr>
        <w:jc w:val="center"/>
        <w:rPr>
          <w:sz w:val="22"/>
        </w:rPr>
      </w:pPr>
    </w:p>
    <w:p w:rsidR="00193F10" w:rsidRDefault="00193F10" w:rsidP="00194AA6">
      <w:pPr>
        <w:pStyle w:val="Heading4"/>
        <w:spacing w:after="120"/>
        <w:rPr>
          <w:bCs/>
        </w:rPr>
      </w:pPr>
      <w:r>
        <w:rPr>
          <w:bCs/>
        </w:rPr>
        <w:t>COUNTY</w:t>
      </w:r>
    </w:p>
    <w:p w:rsidR="00193F10" w:rsidRPr="001D487F" w:rsidRDefault="00F35021" w:rsidP="00194AA6">
      <w:pPr>
        <w:jc w:val="center"/>
        <w:rPr>
          <w:sz w:val="22"/>
        </w:rPr>
      </w:pPr>
      <w:r>
        <w:rPr>
          <w:sz w:val="22"/>
        </w:rPr>
        <w:t>Duval</w:t>
      </w:r>
      <w:r w:rsidR="001D1649" w:rsidRPr="00634F21">
        <w:rPr>
          <w:sz w:val="22"/>
        </w:rPr>
        <w:t xml:space="preserve"> </w:t>
      </w:r>
      <w:r w:rsidR="00193F10" w:rsidRPr="00634F21">
        <w:rPr>
          <w:sz w:val="22"/>
        </w:rPr>
        <w:t>County</w:t>
      </w:r>
      <w:r w:rsidR="001D487F" w:rsidRPr="00634F21">
        <w:rPr>
          <w:sz w:val="22"/>
        </w:rPr>
        <w:t>,</w:t>
      </w:r>
      <w:r w:rsidR="001D487F">
        <w:rPr>
          <w:sz w:val="22"/>
        </w:rPr>
        <w:t xml:space="preserve"> Florida</w:t>
      </w:r>
    </w:p>
    <w:p w:rsidR="00193F10" w:rsidRDefault="00193F10" w:rsidP="00194AA6">
      <w:pPr>
        <w:jc w:val="center"/>
        <w:rPr>
          <w:sz w:val="22"/>
          <w:u w:val="single"/>
        </w:rPr>
      </w:pPr>
    </w:p>
    <w:p w:rsidR="00193F10" w:rsidRDefault="00193F10" w:rsidP="00194AA6">
      <w:pPr>
        <w:jc w:val="center"/>
        <w:rPr>
          <w:sz w:val="22"/>
          <w:u w:val="single"/>
        </w:rPr>
      </w:pPr>
    </w:p>
    <w:p w:rsidR="00193F10" w:rsidRDefault="00193F10" w:rsidP="00194AA6">
      <w:pPr>
        <w:jc w:val="center"/>
        <w:rPr>
          <w:sz w:val="22"/>
        </w:rPr>
      </w:pPr>
    </w:p>
    <w:p w:rsidR="00193F10" w:rsidRDefault="00193F10" w:rsidP="00194AA6">
      <w:pPr>
        <w:pStyle w:val="Heading8"/>
        <w:jc w:val="center"/>
      </w:pPr>
      <w:r>
        <w:t>PERMITTING</w:t>
      </w:r>
      <w:r w:rsidR="001D487F">
        <w:t xml:space="preserve"> </w:t>
      </w:r>
      <w:r>
        <w:t>AUTHORITY</w:t>
      </w:r>
    </w:p>
    <w:p w:rsidR="00194AA6" w:rsidRPr="00746205" w:rsidRDefault="00194AA6" w:rsidP="00194AA6">
      <w:pPr>
        <w:widowControl w:val="0"/>
        <w:jc w:val="center"/>
        <w:rPr>
          <w:sz w:val="22"/>
          <w:szCs w:val="22"/>
        </w:rPr>
      </w:pPr>
      <w:r w:rsidRPr="00746205">
        <w:rPr>
          <w:sz w:val="22"/>
          <w:szCs w:val="22"/>
        </w:rPr>
        <w:t>Florida Department of Environmental Protection</w:t>
      </w:r>
    </w:p>
    <w:p w:rsidR="00194AA6" w:rsidRPr="00746205" w:rsidRDefault="00194AA6" w:rsidP="00194AA6">
      <w:pPr>
        <w:widowControl w:val="0"/>
        <w:jc w:val="center"/>
        <w:rPr>
          <w:sz w:val="22"/>
          <w:szCs w:val="22"/>
        </w:rPr>
      </w:pPr>
      <w:r w:rsidRPr="00746205">
        <w:rPr>
          <w:sz w:val="22"/>
          <w:szCs w:val="22"/>
        </w:rPr>
        <w:t>Division of Air Resource Management</w:t>
      </w:r>
    </w:p>
    <w:p w:rsidR="00194AA6" w:rsidRPr="00746205" w:rsidRDefault="00850561" w:rsidP="00194AA6">
      <w:pPr>
        <w:widowControl w:val="0"/>
        <w:jc w:val="center"/>
        <w:rPr>
          <w:sz w:val="22"/>
          <w:szCs w:val="22"/>
        </w:rPr>
      </w:pPr>
      <w:r>
        <w:rPr>
          <w:sz w:val="22"/>
          <w:szCs w:val="22"/>
        </w:rPr>
        <w:t>Office of Permitting and Compliance</w:t>
      </w:r>
    </w:p>
    <w:p w:rsidR="00194AA6" w:rsidRDefault="00194AA6" w:rsidP="00194AA6">
      <w:pPr>
        <w:widowControl w:val="0"/>
        <w:jc w:val="center"/>
        <w:rPr>
          <w:sz w:val="22"/>
          <w:szCs w:val="22"/>
        </w:rPr>
      </w:pPr>
      <w:r>
        <w:rPr>
          <w:sz w:val="22"/>
          <w:szCs w:val="22"/>
        </w:rPr>
        <w:t>2600 Blair Stone Road, MS#5505</w:t>
      </w:r>
    </w:p>
    <w:p w:rsidR="00194AA6" w:rsidRDefault="00194AA6" w:rsidP="00194AA6">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32399-2400</w:t>
          </w:r>
        </w:smartTag>
      </w:smartTag>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1D487F" w:rsidRDefault="00703553" w:rsidP="00194AA6">
      <w:pPr>
        <w:jc w:val="center"/>
        <w:rPr>
          <w:sz w:val="22"/>
        </w:rPr>
      </w:pPr>
      <w:r>
        <w:rPr>
          <w:sz w:val="22"/>
        </w:rPr>
        <w:t>November</w:t>
      </w:r>
      <w:r w:rsidR="00FD49EC">
        <w:rPr>
          <w:sz w:val="22"/>
        </w:rPr>
        <w:t xml:space="preserve"> 14,</w:t>
      </w:r>
      <w:r w:rsidR="00FC79F2">
        <w:rPr>
          <w:sz w:val="22"/>
        </w:rPr>
        <w:t xml:space="preserve"> 2014</w:t>
      </w: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Default="00193F10" w:rsidP="00194AA6">
      <w:pPr>
        <w:jc w:val="center"/>
        <w:rPr>
          <w:sz w:val="22"/>
        </w:rPr>
      </w:pPr>
    </w:p>
    <w:p w:rsidR="00193F10" w:rsidRPr="00D07B72" w:rsidRDefault="00193F10" w:rsidP="00194AA6">
      <w:pPr>
        <w:jc w:val="center"/>
        <w:rPr>
          <w:sz w:val="22"/>
          <w:szCs w:val="22"/>
        </w:rPr>
      </w:pPr>
    </w:p>
    <w:p w:rsidR="00193F10" w:rsidRDefault="00193F10">
      <w:pPr>
        <w:jc w:val="center"/>
        <w:rPr>
          <w:sz w:val="22"/>
        </w:rPr>
        <w:sectPr w:rsidR="00193F10" w:rsidSect="00955781">
          <w:pgSz w:w="12240" w:h="15840" w:code="1"/>
          <w:pgMar w:top="720" w:right="1080" w:bottom="720" w:left="1080" w:header="720" w:footer="720" w:gutter="0"/>
          <w:paperSrc w:first="15" w:other="15"/>
          <w:pgNumType w:start="1"/>
          <w:cols w:space="720"/>
        </w:sectPr>
      </w:pPr>
    </w:p>
    <w:p w:rsidR="00193F10" w:rsidRPr="009D733B" w:rsidRDefault="00193F10" w:rsidP="009D733B">
      <w:pPr>
        <w:pStyle w:val="ListParagraph"/>
        <w:numPr>
          <w:ilvl w:val="0"/>
          <w:numId w:val="13"/>
        </w:numPr>
        <w:spacing w:after="120"/>
        <w:ind w:left="720" w:hanging="720"/>
        <w:contextualSpacing w:val="0"/>
        <w:rPr>
          <w:b/>
          <w:caps/>
          <w:sz w:val="22"/>
        </w:rPr>
      </w:pPr>
      <w:r w:rsidRPr="009D733B">
        <w:rPr>
          <w:b/>
          <w:caps/>
          <w:sz w:val="22"/>
        </w:rPr>
        <w:lastRenderedPageBreak/>
        <w:t>General Project INFORMATION</w:t>
      </w:r>
    </w:p>
    <w:p w:rsidR="00EE6112" w:rsidRPr="009D733B" w:rsidRDefault="00EE6112" w:rsidP="009D733B">
      <w:pPr>
        <w:pStyle w:val="ListParagraph"/>
        <w:numPr>
          <w:ilvl w:val="1"/>
          <w:numId w:val="13"/>
        </w:numPr>
        <w:spacing w:after="120"/>
        <w:ind w:left="720" w:hanging="720"/>
        <w:rPr>
          <w:b/>
          <w:caps/>
          <w:sz w:val="22"/>
          <w:szCs w:val="22"/>
        </w:rPr>
      </w:pPr>
      <w:r w:rsidRPr="009D733B">
        <w:rPr>
          <w:b/>
          <w:bCs/>
          <w:sz w:val="22"/>
          <w:szCs w:val="22"/>
        </w:rPr>
        <w:t>Air Pollution Regulations</w:t>
      </w:r>
    </w:p>
    <w:p w:rsidR="00EE6112" w:rsidRDefault="00EE6112" w:rsidP="00EE6112">
      <w:pPr>
        <w:spacing w:after="120"/>
        <w:rPr>
          <w:sz w:val="22"/>
          <w:szCs w:val="22"/>
        </w:rPr>
      </w:pPr>
      <w:r>
        <w:rPr>
          <w:sz w:val="22"/>
          <w:szCs w:val="22"/>
        </w:rPr>
        <w:t xml:space="preserve">Projects </w:t>
      </w:r>
      <w:r w:rsidR="004D1D9F">
        <w:rPr>
          <w:sz w:val="22"/>
          <w:szCs w:val="22"/>
        </w:rPr>
        <w:t xml:space="preserve">at stationary sources </w:t>
      </w:r>
      <w:r>
        <w:rPr>
          <w:sz w:val="22"/>
          <w:szCs w:val="22"/>
        </w:rPr>
        <w:t xml:space="preserve">with the potential to emit air pollution are </w:t>
      </w:r>
      <w:r w:rsidRPr="000302D6">
        <w:rPr>
          <w:sz w:val="22"/>
          <w:szCs w:val="22"/>
        </w:rPr>
        <w:t>subject to the applicable environmental laws specified in Section 403 of the Florida Statutes (F.S.)</w:t>
      </w:r>
      <w:r>
        <w:rPr>
          <w:sz w:val="22"/>
          <w:szCs w:val="22"/>
        </w:rPr>
        <w:t xml:space="preserve">.  The statutes </w:t>
      </w:r>
      <w:r w:rsidRPr="000302D6">
        <w:rPr>
          <w:sz w:val="22"/>
          <w:szCs w:val="22"/>
        </w:rPr>
        <w:t>authoriz</w:t>
      </w:r>
      <w:r w:rsidR="000C5143">
        <w:rPr>
          <w:sz w:val="22"/>
          <w:szCs w:val="22"/>
        </w:rPr>
        <w:t>e</w:t>
      </w:r>
      <w:r w:rsidRPr="000302D6">
        <w:rPr>
          <w:sz w:val="22"/>
          <w:szCs w:val="22"/>
        </w:rPr>
        <w:t xml:space="preserve"> the Department of Environmental Protection </w:t>
      </w:r>
      <w:r>
        <w:rPr>
          <w:sz w:val="22"/>
          <w:szCs w:val="22"/>
        </w:rPr>
        <w:t xml:space="preserve">(Department) </w:t>
      </w:r>
      <w:r w:rsidRPr="000302D6">
        <w:rPr>
          <w:sz w:val="22"/>
          <w:szCs w:val="22"/>
        </w:rPr>
        <w:t xml:space="preserve">to establish regulations regarding air quality as part of the Florida Administrative Code (F.A.C.), which includes the following </w:t>
      </w:r>
      <w:r w:rsidR="00701FEF">
        <w:rPr>
          <w:sz w:val="22"/>
          <w:szCs w:val="22"/>
        </w:rPr>
        <w:t xml:space="preserve">applicable </w:t>
      </w:r>
      <w:r w:rsidRPr="000302D6">
        <w:rPr>
          <w:sz w:val="22"/>
          <w:szCs w:val="22"/>
        </w:rPr>
        <w:t>chapters:  62-4 (Permits); 62-204 (Air Pollution Control – General Provisions); 62-210 (Stationary Sources – General Requirements); 62-212 (Stationary Sources</w:t>
      </w:r>
      <w:r w:rsidR="00D51D78" w:rsidRPr="000302D6">
        <w:rPr>
          <w:sz w:val="22"/>
          <w:szCs w:val="22"/>
        </w:rPr>
        <w:t xml:space="preserve"> – </w:t>
      </w:r>
      <w:r w:rsidRPr="000302D6">
        <w:rPr>
          <w:sz w:val="22"/>
          <w:szCs w:val="22"/>
        </w:rPr>
        <w:t>Preconstruction Review); 62-213 (Operation Permits for Major Sources of Air Pollution); 62-296 (Stationary Sources - Emission Standards); and 62-297 (Stationary Sources</w:t>
      </w:r>
      <w:r w:rsidR="00D51D78" w:rsidRPr="000302D6">
        <w:rPr>
          <w:sz w:val="22"/>
          <w:szCs w:val="22"/>
        </w:rPr>
        <w:t xml:space="preserve"> – </w:t>
      </w:r>
      <w:r w:rsidRPr="000302D6">
        <w:rPr>
          <w:sz w:val="22"/>
          <w:szCs w:val="22"/>
        </w:rPr>
        <w:t>Emissions Monitoring).</w:t>
      </w:r>
      <w:r>
        <w:rPr>
          <w:sz w:val="22"/>
          <w:szCs w:val="22"/>
        </w:rPr>
        <w:t xml:space="preserve">  Specifically, air construction permits are required pursuant to </w:t>
      </w:r>
      <w:r w:rsidR="009F6095">
        <w:rPr>
          <w:sz w:val="22"/>
          <w:szCs w:val="22"/>
        </w:rPr>
        <w:t>Chapters</w:t>
      </w:r>
      <w:r>
        <w:rPr>
          <w:sz w:val="22"/>
          <w:szCs w:val="22"/>
        </w:rPr>
        <w:t xml:space="preserve"> 62-4, 62-210 and 62-212, F.A.C.</w:t>
      </w:r>
    </w:p>
    <w:p w:rsidR="00EE6112" w:rsidRPr="000302D6" w:rsidRDefault="00EE6112" w:rsidP="00EE6112">
      <w:pPr>
        <w:spacing w:after="120"/>
        <w:rPr>
          <w:sz w:val="22"/>
          <w:szCs w:val="22"/>
        </w:rPr>
      </w:pPr>
      <w:r w:rsidRPr="000302D6">
        <w:rPr>
          <w:sz w:val="22"/>
          <w:szCs w:val="22"/>
        </w:rPr>
        <w:t>In addition, the U. S. Environmental Protection Agency (EPA) establishes air quality regulations in Title 40 of the Code of Federal Regulations</w:t>
      </w:r>
      <w:r>
        <w:rPr>
          <w:sz w:val="22"/>
          <w:szCs w:val="22"/>
        </w:rPr>
        <w:t xml:space="preserve"> (CFR).  </w:t>
      </w:r>
      <w:r w:rsidRPr="000302D6">
        <w:rPr>
          <w:sz w:val="22"/>
          <w:szCs w:val="22"/>
        </w:rPr>
        <w:t xml:space="preserve">Part 60 </w:t>
      </w:r>
      <w:r>
        <w:rPr>
          <w:sz w:val="22"/>
          <w:szCs w:val="22"/>
        </w:rPr>
        <w:t>specifies New Source Performance Standards (</w:t>
      </w:r>
      <w:r w:rsidRPr="000302D6">
        <w:rPr>
          <w:sz w:val="22"/>
          <w:szCs w:val="22"/>
        </w:rPr>
        <w:t>NSPS</w:t>
      </w:r>
      <w:r>
        <w:rPr>
          <w:sz w:val="22"/>
          <w:szCs w:val="22"/>
        </w:rPr>
        <w:t>)</w:t>
      </w:r>
      <w:r w:rsidRPr="000302D6">
        <w:rPr>
          <w:sz w:val="22"/>
          <w:szCs w:val="22"/>
        </w:rPr>
        <w:t xml:space="preserve"> for </w:t>
      </w:r>
      <w:r>
        <w:rPr>
          <w:sz w:val="22"/>
          <w:szCs w:val="22"/>
        </w:rPr>
        <w:t xml:space="preserve">numerous </w:t>
      </w:r>
      <w:r w:rsidRPr="000302D6">
        <w:rPr>
          <w:sz w:val="22"/>
          <w:szCs w:val="22"/>
        </w:rPr>
        <w:t xml:space="preserve">industrial </w:t>
      </w:r>
      <w:r w:rsidR="000E42D3" w:rsidRPr="000302D6">
        <w:rPr>
          <w:sz w:val="22"/>
          <w:szCs w:val="22"/>
        </w:rPr>
        <w:t>categories</w:t>
      </w:r>
      <w:r>
        <w:rPr>
          <w:sz w:val="22"/>
          <w:szCs w:val="22"/>
        </w:rPr>
        <w:t xml:space="preserve">.  </w:t>
      </w:r>
      <w:r w:rsidRPr="000302D6">
        <w:rPr>
          <w:sz w:val="22"/>
          <w:szCs w:val="22"/>
        </w:rPr>
        <w:t>Part 61 specifies National Emission Standards for Hazardous Air Pollutants (NESHAP) based on specific pollutants</w:t>
      </w:r>
      <w:r>
        <w:rPr>
          <w:sz w:val="22"/>
          <w:szCs w:val="22"/>
        </w:rPr>
        <w:t xml:space="preserve">.  </w:t>
      </w:r>
      <w:r w:rsidRPr="000302D6">
        <w:rPr>
          <w:sz w:val="22"/>
          <w:szCs w:val="22"/>
        </w:rPr>
        <w:t xml:space="preserve">Part 63 specifies NESHAP based on the Maximum Achievable Control Technology (MACT) for </w:t>
      </w:r>
      <w:r>
        <w:rPr>
          <w:sz w:val="22"/>
          <w:szCs w:val="22"/>
        </w:rPr>
        <w:t xml:space="preserve">numerous </w:t>
      </w:r>
      <w:r w:rsidRPr="000302D6">
        <w:rPr>
          <w:sz w:val="22"/>
          <w:szCs w:val="22"/>
        </w:rPr>
        <w:t>industrial categories.  The Department adopts these federal regulations in Rule 62-204.800, F.A.C.</w:t>
      </w:r>
    </w:p>
    <w:p w:rsidR="00D262B1" w:rsidRPr="00402247" w:rsidRDefault="00D262B1" w:rsidP="00402247">
      <w:pPr>
        <w:pStyle w:val="ListParagraph"/>
        <w:numPr>
          <w:ilvl w:val="1"/>
          <w:numId w:val="13"/>
        </w:numPr>
        <w:spacing w:after="120"/>
        <w:ind w:left="720" w:hanging="720"/>
        <w:rPr>
          <w:rFonts w:ascii="Times New Roman Bold" w:hAnsi="Times New Roman Bold"/>
          <w:b/>
          <w:sz w:val="22"/>
          <w:szCs w:val="22"/>
        </w:rPr>
      </w:pPr>
      <w:r w:rsidRPr="00402247">
        <w:rPr>
          <w:rFonts w:ascii="Times New Roman Bold" w:hAnsi="Times New Roman Bold"/>
          <w:b/>
          <w:sz w:val="22"/>
          <w:szCs w:val="22"/>
        </w:rPr>
        <w:t>Glossary of Common Terms</w:t>
      </w:r>
    </w:p>
    <w:p w:rsidR="00D262B1" w:rsidRPr="004D1D9F" w:rsidRDefault="00D262B1" w:rsidP="00D262B1">
      <w:pPr>
        <w:pStyle w:val="BodyText"/>
        <w:numPr>
          <w:ilvl w:val="12"/>
          <w:numId w:val="0"/>
        </w:numPr>
        <w:rPr>
          <w:sz w:val="22"/>
          <w:szCs w:val="22"/>
        </w:rPr>
      </w:pPr>
      <w:r w:rsidRPr="004D1D9F">
        <w:rPr>
          <w:sz w:val="22"/>
          <w:szCs w:val="22"/>
        </w:rPr>
        <w:t>Because of the technical nature of the project, the permit contains numerous acronyms and abbreviations, which are defined in Appendix A of this permit.</w:t>
      </w:r>
    </w:p>
    <w:p w:rsidR="00193F10" w:rsidRPr="00402247" w:rsidRDefault="00193F10" w:rsidP="00402247">
      <w:pPr>
        <w:pStyle w:val="ListParagraph"/>
        <w:numPr>
          <w:ilvl w:val="1"/>
          <w:numId w:val="13"/>
        </w:numPr>
        <w:spacing w:after="120"/>
        <w:ind w:left="720" w:hanging="720"/>
        <w:rPr>
          <w:rFonts w:ascii="Times New Roman Bold" w:hAnsi="Times New Roman Bold"/>
          <w:b/>
          <w:sz w:val="22"/>
          <w:szCs w:val="22"/>
        </w:rPr>
      </w:pPr>
      <w:r w:rsidRPr="00402247">
        <w:rPr>
          <w:b/>
          <w:bCs/>
          <w:sz w:val="22"/>
          <w:szCs w:val="22"/>
        </w:rPr>
        <w:t>Facility Description and Location</w:t>
      </w:r>
    </w:p>
    <w:p w:rsidR="00193F10" w:rsidRDefault="00404E42" w:rsidP="00634F21">
      <w:pPr>
        <w:pStyle w:val="BodyText3"/>
        <w:numPr>
          <w:ilvl w:val="12"/>
          <w:numId w:val="0"/>
        </w:numPr>
        <w:spacing w:before="0"/>
      </w:pPr>
      <w:r>
        <w:rPr>
          <w:szCs w:val="22"/>
        </w:rPr>
        <w:t xml:space="preserve">Northside Generating Station (NGS) </w:t>
      </w:r>
      <w:r w:rsidR="00967FAA">
        <w:rPr>
          <w:szCs w:val="22"/>
        </w:rPr>
        <w:t>and</w:t>
      </w:r>
      <w:r>
        <w:rPr>
          <w:szCs w:val="22"/>
        </w:rPr>
        <w:t xml:space="preserve"> St. Johns River Power Park </w:t>
      </w:r>
      <w:r w:rsidR="00967FAA">
        <w:rPr>
          <w:szCs w:val="22"/>
        </w:rPr>
        <w:t>(SJRPP) comprise</w:t>
      </w:r>
      <w:r w:rsidRPr="000472DA">
        <w:rPr>
          <w:szCs w:val="22"/>
        </w:rPr>
        <w:t xml:space="preserve"> an </w:t>
      </w:r>
      <w:r>
        <w:rPr>
          <w:szCs w:val="22"/>
        </w:rPr>
        <w:t>electric power plant</w:t>
      </w:r>
      <w:r w:rsidRPr="000472DA">
        <w:rPr>
          <w:szCs w:val="22"/>
        </w:rPr>
        <w:t xml:space="preserve"> </w:t>
      </w:r>
      <w:r w:rsidR="00967FAA">
        <w:rPr>
          <w:szCs w:val="22"/>
        </w:rPr>
        <w:t xml:space="preserve">facility </w:t>
      </w:r>
      <w:r>
        <w:rPr>
          <w:szCs w:val="22"/>
        </w:rPr>
        <w:t xml:space="preserve">categorized under Standard Industrial Classification </w:t>
      </w:r>
      <w:r w:rsidRPr="000472DA">
        <w:rPr>
          <w:szCs w:val="22"/>
        </w:rPr>
        <w:t xml:space="preserve">No. </w:t>
      </w:r>
      <w:r>
        <w:rPr>
          <w:szCs w:val="22"/>
        </w:rPr>
        <w:t>4911</w:t>
      </w:r>
      <w:r w:rsidRPr="001C4E37">
        <w:rPr>
          <w:bCs/>
        </w:rPr>
        <w:t>.</w:t>
      </w:r>
      <w:r w:rsidR="00634F21">
        <w:rPr>
          <w:szCs w:val="22"/>
        </w:rPr>
        <w:t xml:space="preserve">  </w:t>
      </w:r>
      <w:r w:rsidR="00EA70A2">
        <w:rPr>
          <w:szCs w:val="22"/>
        </w:rPr>
        <w:t>These existing facilities are</w:t>
      </w:r>
      <w:r w:rsidR="00634F21" w:rsidRPr="00B85EED">
        <w:rPr>
          <w:szCs w:val="22"/>
        </w:rPr>
        <w:t xml:space="preserve"> located in </w:t>
      </w:r>
      <w:r w:rsidR="00EA70A2">
        <w:rPr>
          <w:szCs w:val="22"/>
        </w:rPr>
        <w:t>Duval</w:t>
      </w:r>
      <w:r w:rsidR="00634F21" w:rsidRPr="00B85EED">
        <w:rPr>
          <w:szCs w:val="22"/>
        </w:rPr>
        <w:t xml:space="preserve"> County at </w:t>
      </w:r>
      <w:r w:rsidR="00EA70A2">
        <w:rPr>
          <w:szCs w:val="22"/>
        </w:rPr>
        <w:t>4377 Heckscher Drive</w:t>
      </w:r>
      <w:r w:rsidR="00634F21" w:rsidRPr="00B85EED">
        <w:rPr>
          <w:szCs w:val="22"/>
        </w:rPr>
        <w:t xml:space="preserve"> in </w:t>
      </w:r>
      <w:r w:rsidR="00EA70A2">
        <w:rPr>
          <w:szCs w:val="22"/>
        </w:rPr>
        <w:t>Jacksonville</w:t>
      </w:r>
      <w:r w:rsidR="00634F21" w:rsidRPr="00B85EED">
        <w:rPr>
          <w:szCs w:val="22"/>
        </w:rPr>
        <w:t>, Florida</w:t>
      </w:r>
      <w:r w:rsidR="00B43FB8">
        <w:rPr>
          <w:szCs w:val="22"/>
        </w:rPr>
        <w:t xml:space="preserve">.  </w:t>
      </w:r>
      <w:r w:rsidR="00CA3C9F" w:rsidRPr="00CA3C9F">
        <w:rPr>
          <w:szCs w:val="22"/>
        </w:rPr>
        <w:fldChar w:fldCharType="begin"/>
      </w:r>
      <w:r w:rsidR="00CA3C9F" w:rsidRPr="00CA3C9F">
        <w:rPr>
          <w:szCs w:val="22"/>
        </w:rPr>
        <w:instrText xml:space="preserve"> REF _Ref403718788 \h </w:instrText>
      </w:r>
      <w:r w:rsidR="00CA3C9F" w:rsidRPr="00CA3C9F">
        <w:rPr>
          <w:szCs w:val="22"/>
        </w:rPr>
      </w:r>
      <w:r w:rsidR="00CA3C9F">
        <w:rPr>
          <w:szCs w:val="22"/>
        </w:rPr>
        <w:instrText xml:space="preserve"> \* MERGEFORMAT </w:instrText>
      </w:r>
      <w:r w:rsidR="00CA3C9F" w:rsidRPr="00CA3C9F">
        <w:rPr>
          <w:szCs w:val="22"/>
        </w:rPr>
        <w:fldChar w:fldCharType="separate"/>
      </w:r>
      <w:r w:rsidR="009D733B" w:rsidRPr="009D733B">
        <w:rPr>
          <w:rFonts w:ascii="Times New Roman Bold" w:hAnsi="Times New Roman Bold"/>
        </w:rPr>
        <w:t xml:space="preserve">Figure </w:t>
      </w:r>
      <w:r w:rsidR="009D733B" w:rsidRPr="009D733B">
        <w:rPr>
          <w:rFonts w:ascii="Times New Roman Bold" w:hAnsi="Times New Roman Bold"/>
          <w:noProof/>
        </w:rPr>
        <w:t>1</w:t>
      </w:r>
      <w:r w:rsidR="00CA3C9F" w:rsidRPr="00CA3C9F">
        <w:rPr>
          <w:szCs w:val="22"/>
        </w:rPr>
        <w:fldChar w:fldCharType="end"/>
      </w:r>
      <w:r w:rsidR="00CA3C9F">
        <w:rPr>
          <w:szCs w:val="22"/>
        </w:rPr>
        <w:t xml:space="preserve"> shows the location of Duval County while </w:t>
      </w:r>
      <w:r w:rsidR="00CA3C9F" w:rsidRPr="00CA3C9F">
        <w:rPr>
          <w:szCs w:val="22"/>
        </w:rPr>
        <w:fldChar w:fldCharType="begin"/>
      </w:r>
      <w:r w:rsidR="00CA3C9F" w:rsidRPr="00CA3C9F">
        <w:rPr>
          <w:szCs w:val="22"/>
        </w:rPr>
        <w:instrText xml:space="preserve"> REF _Ref403718799 \h </w:instrText>
      </w:r>
      <w:r w:rsidR="00CA3C9F" w:rsidRPr="00CA3C9F">
        <w:rPr>
          <w:szCs w:val="22"/>
        </w:rPr>
      </w:r>
      <w:r w:rsidR="00CA3C9F">
        <w:rPr>
          <w:szCs w:val="22"/>
        </w:rPr>
        <w:instrText xml:space="preserve"> \* MERGEFORMAT </w:instrText>
      </w:r>
      <w:r w:rsidR="00CA3C9F" w:rsidRPr="00CA3C9F">
        <w:rPr>
          <w:szCs w:val="22"/>
        </w:rPr>
        <w:fldChar w:fldCharType="separate"/>
      </w:r>
      <w:r w:rsidR="009D733B" w:rsidRPr="009D733B">
        <w:rPr>
          <w:rFonts w:ascii="Times New Roman Bold" w:hAnsi="Times New Roman Bold"/>
        </w:rPr>
        <w:t xml:space="preserve">Figure </w:t>
      </w:r>
      <w:r w:rsidR="009D733B" w:rsidRPr="009D733B">
        <w:rPr>
          <w:rFonts w:ascii="Times New Roman Bold" w:hAnsi="Times New Roman Bold"/>
          <w:noProof/>
        </w:rPr>
        <w:t>2</w:t>
      </w:r>
      <w:r w:rsidR="00CA3C9F" w:rsidRPr="00CA3C9F">
        <w:rPr>
          <w:szCs w:val="22"/>
        </w:rPr>
        <w:fldChar w:fldCharType="end"/>
      </w:r>
      <w:r w:rsidR="00CA3C9F">
        <w:rPr>
          <w:szCs w:val="22"/>
        </w:rPr>
        <w:t xml:space="preserve"> shows the location of the NGS.  A satellite view of the NGS is shown in</w:t>
      </w:r>
      <w:r w:rsidR="009D733B">
        <w:rPr>
          <w:szCs w:val="22"/>
        </w:rPr>
        <w:t xml:space="preserve"> </w:t>
      </w:r>
      <w:r w:rsidR="009D733B" w:rsidRPr="009D733B">
        <w:rPr>
          <w:b/>
          <w:szCs w:val="22"/>
        </w:rPr>
        <w:fldChar w:fldCharType="begin"/>
      </w:r>
      <w:r w:rsidR="009D733B" w:rsidRPr="009D733B">
        <w:rPr>
          <w:b/>
          <w:szCs w:val="22"/>
        </w:rPr>
        <w:instrText xml:space="preserve"> REF _Ref403719916 \h </w:instrText>
      </w:r>
      <w:r w:rsidR="009D733B" w:rsidRPr="009D733B">
        <w:rPr>
          <w:b/>
          <w:szCs w:val="22"/>
        </w:rPr>
      </w:r>
      <w:r w:rsidR="009D733B" w:rsidRPr="009D733B">
        <w:rPr>
          <w:b/>
          <w:szCs w:val="22"/>
        </w:rPr>
        <w:instrText xml:space="preserve"> \* MERGEFORMAT </w:instrText>
      </w:r>
      <w:r w:rsidR="009D733B" w:rsidRPr="009D733B">
        <w:rPr>
          <w:b/>
          <w:szCs w:val="22"/>
        </w:rPr>
        <w:fldChar w:fldCharType="separate"/>
      </w:r>
      <w:r w:rsidR="009D733B" w:rsidRPr="009D733B">
        <w:rPr>
          <w:b/>
        </w:rPr>
        <w:t xml:space="preserve">Figure </w:t>
      </w:r>
      <w:r w:rsidR="009D733B" w:rsidRPr="009D733B">
        <w:rPr>
          <w:b/>
          <w:noProof/>
        </w:rPr>
        <w:t>3</w:t>
      </w:r>
      <w:r w:rsidR="009D733B" w:rsidRPr="009D733B">
        <w:rPr>
          <w:b/>
          <w:szCs w:val="22"/>
        </w:rPr>
        <w:fldChar w:fldCharType="end"/>
      </w:r>
      <w:r w:rsidR="00CA3C9F">
        <w:rPr>
          <w:szCs w:val="22"/>
        </w:rPr>
        <w:t xml:space="preserve">.  </w:t>
      </w:r>
      <w:r w:rsidR="00B43FB8">
        <w:rPr>
          <w:szCs w:val="22"/>
        </w:rPr>
        <w:t xml:space="preserve">The NGS consists of </w:t>
      </w:r>
      <w:r w:rsidR="00932B01">
        <w:rPr>
          <w:szCs w:val="22"/>
        </w:rPr>
        <w:t>three</w:t>
      </w:r>
      <w:r w:rsidR="00B43FB8">
        <w:rPr>
          <w:szCs w:val="22"/>
        </w:rPr>
        <w:t xml:space="preserve"> boilers and </w:t>
      </w:r>
      <w:r w:rsidR="00932B01">
        <w:rPr>
          <w:szCs w:val="22"/>
        </w:rPr>
        <w:t>four</w:t>
      </w:r>
      <w:r w:rsidR="00B43FB8">
        <w:rPr>
          <w:szCs w:val="22"/>
        </w:rPr>
        <w:t xml:space="preserve"> combustion turbines</w:t>
      </w:r>
      <w:r w:rsidR="00011EAB">
        <w:t xml:space="preserve">.  </w:t>
      </w:r>
      <w:r w:rsidR="00B43FB8" w:rsidRPr="000472DA">
        <w:rPr>
          <w:szCs w:val="22"/>
        </w:rPr>
        <w:t xml:space="preserve">The UTM coordinates are Zone </w:t>
      </w:r>
      <w:r w:rsidR="00B43FB8">
        <w:rPr>
          <w:szCs w:val="22"/>
        </w:rPr>
        <w:t>17</w:t>
      </w:r>
      <w:r w:rsidR="00B43FB8" w:rsidRPr="000472DA">
        <w:rPr>
          <w:szCs w:val="22"/>
        </w:rPr>
        <w:t xml:space="preserve">, </w:t>
      </w:r>
      <w:r w:rsidR="00B43FB8">
        <w:rPr>
          <w:szCs w:val="22"/>
        </w:rPr>
        <w:t>446.90</w:t>
      </w:r>
      <w:r w:rsidR="00B43FB8" w:rsidRPr="000472DA">
        <w:rPr>
          <w:szCs w:val="22"/>
        </w:rPr>
        <w:t xml:space="preserve"> </w:t>
      </w:r>
      <w:r w:rsidR="00FD49EC">
        <w:rPr>
          <w:szCs w:val="22"/>
        </w:rPr>
        <w:t>kilometers (</w:t>
      </w:r>
      <w:r w:rsidR="00B43FB8" w:rsidRPr="000472DA">
        <w:rPr>
          <w:szCs w:val="22"/>
        </w:rPr>
        <w:t>km</w:t>
      </w:r>
      <w:r w:rsidR="00FD49EC">
        <w:rPr>
          <w:szCs w:val="22"/>
        </w:rPr>
        <w:t>)</w:t>
      </w:r>
      <w:r w:rsidR="00B43FB8" w:rsidRPr="000472DA">
        <w:rPr>
          <w:szCs w:val="22"/>
        </w:rPr>
        <w:t xml:space="preserve"> East and </w:t>
      </w:r>
      <w:r w:rsidR="00B43FB8">
        <w:rPr>
          <w:szCs w:val="22"/>
        </w:rPr>
        <w:t>3359.15</w:t>
      </w:r>
      <w:r w:rsidR="00B43FB8" w:rsidRPr="000472DA">
        <w:rPr>
          <w:szCs w:val="22"/>
        </w:rPr>
        <w:t xml:space="preserve"> km North</w:t>
      </w:r>
      <w:r w:rsidR="00634F21" w:rsidRPr="00C57F2A">
        <w:rPr>
          <w:sz w:val="21"/>
          <w:szCs w:val="21"/>
        </w:rPr>
        <w:t>.</w:t>
      </w:r>
      <w:r w:rsidR="00193F10">
        <w:t xml:space="preserve">  This site is in an area that is in attainment (or designated as unclassifiable) for all air</w:t>
      </w:r>
      <w:r w:rsidR="001D487F">
        <w:t xml:space="preserve"> pollutants subject to </w:t>
      </w:r>
      <w:r w:rsidR="00193F10">
        <w:t>Ambient Air Quality Standard</w:t>
      </w:r>
      <w:r w:rsidR="001D487F">
        <w:t>s</w:t>
      </w:r>
      <w:r w:rsidR="00F71458">
        <w:t xml:space="preserve"> (</w:t>
      </w:r>
      <w:r w:rsidR="00193F10">
        <w:t>AAQS).</w:t>
      </w:r>
    </w:p>
    <w:p w:rsidR="00FD49EC" w:rsidRDefault="00FD49EC" w:rsidP="00CA3C9F">
      <w:pPr>
        <w:pStyle w:val="BodyText3"/>
        <w:numPr>
          <w:ilvl w:val="12"/>
          <w:numId w:val="0"/>
        </w:numPr>
        <w:tabs>
          <w:tab w:val="left" w:pos="4680"/>
        </w:tabs>
        <w:spacing w:before="0"/>
      </w:pPr>
      <w:r>
        <w:rPr>
          <w:noProof/>
        </w:rPr>
        <w:drawing>
          <wp:inline distT="0" distB="0" distL="0" distR="0" wp14:anchorId="0D3BE850" wp14:editId="4E4BF4A4">
            <wp:extent cx="2903517" cy="2894876"/>
            <wp:effectExtent l="19050" t="19050" r="11430" b="203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val_County_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26261" cy="2917552"/>
                    </a:xfrm>
                    <a:prstGeom prst="rect">
                      <a:avLst/>
                    </a:prstGeom>
                    <a:ln w="19050">
                      <a:solidFill>
                        <a:schemeClr val="tx1"/>
                      </a:solidFill>
                    </a:ln>
                  </pic:spPr>
                </pic:pic>
              </a:graphicData>
            </a:graphic>
          </wp:inline>
        </w:drawing>
      </w:r>
      <w:r>
        <w:tab/>
      </w:r>
      <w:r w:rsidRPr="00FD49EC">
        <w:rPr>
          <w:noProof/>
        </w:rPr>
        <w:drawing>
          <wp:inline distT="0" distB="0" distL="0" distR="0" wp14:anchorId="52F51E87" wp14:editId="20A110EA">
            <wp:extent cx="3354779" cy="2918922"/>
            <wp:effectExtent l="19050" t="19050" r="17145" b="152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7110" cy="2929651"/>
                    </a:xfrm>
                    <a:prstGeom prst="rect">
                      <a:avLst/>
                    </a:prstGeom>
                    <a:noFill/>
                    <a:ln w="19050">
                      <a:solidFill>
                        <a:schemeClr val="tx1"/>
                      </a:solidFill>
                    </a:ln>
                  </pic:spPr>
                </pic:pic>
              </a:graphicData>
            </a:graphic>
          </wp:inline>
        </w:drawing>
      </w:r>
    </w:p>
    <w:p w:rsidR="00CA3C9F" w:rsidRPr="00CA3C9F" w:rsidRDefault="00CA3C9F" w:rsidP="00CA3C9F">
      <w:pPr>
        <w:pStyle w:val="Caption"/>
        <w:tabs>
          <w:tab w:val="left" w:pos="5940"/>
        </w:tabs>
        <w:spacing w:before="120"/>
        <w:ind w:left="450"/>
        <w:rPr>
          <w:rFonts w:ascii="Times New Roman Bold" w:hAnsi="Times New Roman Bold"/>
          <w:caps w:val="0"/>
        </w:rPr>
      </w:pPr>
      <w:bookmarkStart w:id="0" w:name="_Ref403718788"/>
      <w:r w:rsidRPr="00CA3C9F">
        <w:rPr>
          <w:rFonts w:ascii="Times New Roman Bold" w:hAnsi="Times New Roman Bold"/>
          <w:caps w:val="0"/>
        </w:rPr>
        <w:t xml:space="preserve">Figure </w:t>
      </w:r>
      <w:r w:rsidRPr="00CA3C9F">
        <w:rPr>
          <w:rFonts w:ascii="Times New Roman Bold" w:hAnsi="Times New Roman Bold"/>
          <w:caps w:val="0"/>
        </w:rPr>
        <w:fldChar w:fldCharType="begin"/>
      </w:r>
      <w:r w:rsidRPr="00CA3C9F">
        <w:rPr>
          <w:rFonts w:ascii="Times New Roman Bold" w:hAnsi="Times New Roman Bold"/>
          <w:caps w:val="0"/>
        </w:rPr>
        <w:instrText xml:space="preserve"> SEQ Figure \* ARABIC </w:instrText>
      </w:r>
      <w:r w:rsidRPr="00CA3C9F">
        <w:rPr>
          <w:rFonts w:ascii="Times New Roman Bold" w:hAnsi="Times New Roman Bold"/>
          <w:caps w:val="0"/>
        </w:rPr>
        <w:fldChar w:fldCharType="separate"/>
      </w:r>
      <w:r w:rsidR="008A6179">
        <w:rPr>
          <w:rFonts w:ascii="Times New Roman Bold" w:hAnsi="Times New Roman Bold"/>
          <w:caps w:val="0"/>
          <w:noProof/>
        </w:rPr>
        <w:t>1</w:t>
      </w:r>
      <w:r w:rsidRPr="00CA3C9F">
        <w:rPr>
          <w:rFonts w:ascii="Times New Roman Bold" w:hAnsi="Times New Roman Bold"/>
          <w:caps w:val="0"/>
        </w:rPr>
        <w:fldChar w:fldCharType="end"/>
      </w:r>
      <w:bookmarkEnd w:id="0"/>
      <w:r>
        <w:rPr>
          <w:rFonts w:ascii="Times New Roman Bold" w:hAnsi="Times New Roman Bold"/>
          <w:caps w:val="0"/>
        </w:rPr>
        <w:t>.  Location of Duval County.</w:t>
      </w:r>
      <w:r>
        <w:rPr>
          <w:rFonts w:ascii="Times New Roman Bold" w:hAnsi="Times New Roman Bold"/>
          <w:caps w:val="0"/>
        </w:rPr>
        <w:tab/>
      </w:r>
      <w:bookmarkStart w:id="1" w:name="_Ref403718799"/>
      <w:r w:rsidRPr="00CA3C9F">
        <w:rPr>
          <w:rFonts w:ascii="Times New Roman Bold" w:hAnsi="Times New Roman Bold"/>
          <w:caps w:val="0"/>
        </w:rPr>
        <w:t xml:space="preserve">Figure </w:t>
      </w:r>
      <w:r w:rsidRPr="00CA3C9F">
        <w:rPr>
          <w:rFonts w:ascii="Times New Roman Bold" w:hAnsi="Times New Roman Bold"/>
          <w:caps w:val="0"/>
        </w:rPr>
        <w:fldChar w:fldCharType="begin"/>
      </w:r>
      <w:r w:rsidRPr="00CA3C9F">
        <w:rPr>
          <w:rFonts w:ascii="Times New Roman Bold" w:hAnsi="Times New Roman Bold"/>
          <w:caps w:val="0"/>
        </w:rPr>
        <w:instrText xml:space="preserve"> SEQ Figure \* ARABIC </w:instrText>
      </w:r>
      <w:r w:rsidRPr="00CA3C9F">
        <w:rPr>
          <w:rFonts w:ascii="Times New Roman Bold" w:hAnsi="Times New Roman Bold"/>
          <w:caps w:val="0"/>
        </w:rPr>
        <w:fldChar w:fldCharType="separate"/>
      </w:r>
      <w:r w:rsidR="008A6179">
        <w:rPr>
          <w:rFonts w:ascii="Times New Roman Bold" w:hAnsi="Times New Roman Bold"/>
          <w:caps w:val="0"/>
          <w:noProof/>
        </w:rPr>
        <w:t>2</w:t>
      </w:r>
      <w:r w:rsidRPr="00CA3C9F">
        <w:rPr>
          <w:rFonts w:ascii="Times New Roman Bold" w:hAnsi="Times New Roman Bold"/>
          <w:caps w:val="0"/>
        </w:rPr>
        <w:fldChar w:fldCharType="end"/>
      </w:r>
      <w:bookmarkEnd w:id="1"/>
      <w:r>
        <w:rPr>
          <w:rFonts w:ascii="Times New Roman Bold" w:hAnsi="Times New Roman Bold"/>
          <w:caps w:val="0"/>
        </w:rPr>
        <w:t>.  Location of the NGS.</w:t>
      </w:r>
    </w:p>
    <w:p w:rsidR="00FD49EC" w:rsidRDefault="009D733B" w:rsidP="009D733B">
      <w:pPr>
        <w:pStyle w:val="BodyText3"/>
        <w:numPr>
          <w:ilvl w:val="12"/>
          <w:numId w:val="0"/>
        </w:numPr>
        <w:spacing w:before="0"/>
        <w:jc w:val="center"/>
      </w:pPr>
      <w:r>
        <w:rPr>
          <w:noProof/>
        </w:rPr>
        <w:lastRenderedPageBreak/>
        <w:drawing>
          <wp:inline distT="0" distB="0" distL="0" distR="0" wp14:anchorId="5E129BC0" wp14:editId="0AEDFE2D">
            <wp:extent cx="6382987" cy="3414156"/>
            <wp:effectExtent l="19050" t="19050" r="18415" b="15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r="279" b="9682"/>
                    <a:stretch/>
                  </pic:blipFill>
                  <pic:spPr bwMode="auto">
                    <a:xfrm>
                      <a:off x="0" y="0"/>
                      <a:ext cx="6382987" cy="3414156"/>
                    </a:xfrm>
                    <a:prstGeom prst="rect">
                      <a:avLst/>
                    </a:prstGeom>
                    <a:ln w="19050">
                      <a:solidFill>
                        <a:schemeClr val="tx1"/>
                      </a:solidFill>
                    </a:ln>
                    <a:extLst>
                      <a:ext uri="{53640926-AAD7-44D8-BBD7-CCE9431645EC}">
                        <a14:shadowObscured xmlns:a14="http://schemas.microsoft.com/office/drawing/2010/main"/>
                      </a:ext>
                    </a:extLst>
                  </pic:spPr>
                </pic:pic>
              </a:graphicData>
            </a:graphic>
          </wp:inline>
        </w:drawing>
      </w:r>
    </w:p>
    <w:p w:rsidR="00FD49EC" w:rsidRPr="009D733B" w:rsidRDefault="009D733B" w:rsidP="009D733B">
      <w:pPr>
        <w:pStyle w:val="Caption"/>
        <w:spacing w:before="120"/>
        <w:jc w:val="center"/>
        <w:rPr>
          <w:rFonts w:ascii="Times New Roman Bold" w:hAnsi="Times New Roman Bold"/>
          <w:caps w:val="0"/>
        </w:rPr>
      </w:pPr>
      <w:bookmarkStart w:id="2" w:name="_Ref403719916"/>
      <w:r w:rsidRPr="009D733B">
        <w:rPr>
          <w:rFonts w:ascii="Times New Roman Bold" w:hAnsi="Times New Roman Bold"/>
          <w:caps w:val="0"/>
        </w:rPr>
        <w:t xml:space="preserve">Figure </w:t>
      </w:r>
      <w:r w:rsidRPr="009D733B">
        <w:rPr>
          <w:rFonts w:ascii="Times New Roman Bold" w:hAnsi="Times New Roman Bold"/>
          <w:caps w:val="0"/>
        </w:rPr>
        <w:fldChar w:fldCharType="begin"/>
      </w:r>
      <w:r w:rsidRPr="009D733B">
        <w:rPr>
          <w:rFonts w:ascii="Times New Roman Bold" w:hAnsi="Times New Roman Bold"/>
          <w:caps w:val="0"/>
        </w:rPr>
        <w:instrText xml:space="preserve"> SEQ Figure \* ARABIC </w:instrText>
      </w:r>
      <w:r w:rsidRPr="009D733B">
        <w:rPr>
          <w:rFonts w:ascii="Times New Roman Bold" w:hAnsi="Times New Roman Bold"/>
          <w:caps w:val="0"/>
        </w:rPr>
        <w:fldChar w:fldCharType="separate"/>
      </w:r>
      <w:r w:rsidR="008A6179">
        <w:rPr>
          <w:rFonts w:ascii="Times New Roman Bold" w:hAnsi="Times New Roman Bold"/>
          <w:caps w:val="0"/>
          <w:noProof/>
        </w:rPr>
        <w:t>3</w:t>
      </w:r>
      <w:r w:rsidRPr="009D733B">
        <w:rPr>
          <w:rFonts w:ascii="Times New Roman Bold" w:hAnsi="Times New Roman Bold"/>
          <w:caps w:val="0"/>
        </w:rPr>
        <w:fldChar w:fldCharType="end"/>
      </w:r>
      <w:bookmarkEnd w:id="2"/>
      <w:r>
        <w:rPr>
          <w:rFonts w:ascii="Times New Roman Bold" w:hAnsi="Times New Roman Bold"/>
          <w:caps w:val="0"/>
        </w:rPr>
        <w:t>.  Satellite View of the NGS.</w:t>
      </w:r>
    </w:p>
    <w:p w:rsidR="00193F10" w:rsidRPr="00402247" w:rsidRDefault="001C4E37" w:rsidP="00402247">
      <w:pPr>
        <w:pStyle w:val="ListParagraph"/>
        <w:numPr>
          <w:ilvl w:val="1"/>
          <w:numId w:val="13"/>
        </w:numPr>
        <w:spacing w:after="120"/>
        <w:ind w:left="720" w:hanging="720"/>
        <w:rPr>
          <w:b/>
          <w:bCs/>
          <w:sz w:val="22"/>
          <w:szCs w:val="22"/>
        </w:rPr>
      </w:pPr>
      <w:r w:rsidRPr="00402247">
        <w:rPr>
          <w:b/>
          <w:bCs/>
          <w:sz w:val="22"/>
          <w:szCs w:val="22"/>
        </w:rPr>
        <w:t xml:space="preserve">Facility </w:t>
      </w:r>
      <w:r w:rsidR="00193F10" w:rsidRPr="00402247">
        <w:rPr>
          <w:b/>
          <w:bCs/>
          <w:sz w:val="22"/>
          <w:szCs w:val="22"/>
        </w:rPr>
        <w:t>Regulatory Categories</w:t>
      </w:r>
    </w:p>
    <w:p w:rsidR="00404E42" w:rsidRPr="00675A02" w:rsidRDefault="00404E42" w:rsidP="00404E42">
      <w:pPr>
        <w:numPr>
          <w:ilvl w:val="0"/>
          <w:numId w:val="3"/>
        </w:numPr>
        <w:spacing w:after="120"/>
        <w:rPr>
          <w:sz w:val="22"/>
          <w:szCs w:val="22"/>
        </w:rPr>
      </w:pPr>
      <w:bookmarkStart w:id="3" w:name="_GoBack"/>
      <w:r w:rsidRPr="00675A02">
        <w:rPr>
          <w:sz w:val="22"/>
          <w:szCs w:val="22"/>
        </w:rPr>
        <w:t>The facility is a major source of hazardous air pollutants (HAP).</w:t>
      </w:r>
    </w:p>
    <w:p w:rsidR="00404E42" w:rsidRPr="00675A02" w:rsidRDefault="00404E42" w:rsidP="00404E42">
      <w:pPr>
        <w:numPr>
          <w:ilvl w:val="0"/>
          <w:numId w:val="3"/>
        </w:numPr>
        <w:spacing w:after="120"/>
        <w:rPr>
          <w:sz w:val="22"/>
          <w:szCs w:val="22"/>
        </w:rPr>
      </w:pPr>
      <w:r w:rsidRPr="00675A02">
        <w:rPr>
          <w:sz w:val="22"/>
          <w:szCs w:val="22"/>
        </w:rPr>
        <w:t>The facility operates units subject to the acid rain provisions of the Clean Air Act (CAA).</w:t>
      </w:r>
    </w:p>
    <w:p w:rsidR="00404E42" w:rsidRPr="00675A02" w:rsidRDefault="00404E42" w:rsidP="00404E42">
      <w:pPr>
        <w:numPr>
          <w:ilvl w:val="0"/>
          <w:numId w:val="3"/>
        </w:numPr>
        <w:spacing w:after="120"/>
        <w:rPr>
          <w:sz w:val="22"/>
          <w:szCs w:val="22"/>
        </w:rPr>
      </w:pPr>
      <w:r w:rsidRPr="00675A02">
        <w:rPr>
          <w:sz w:val="22"/>
          <w:szCs w:val="22"/>
        </w:rPr>
        <w:t>The facility is</w:t>
      </w:r>
      <w:r w:rsidR="00402247" w:rsidRPr="00402247">
        <w:rPr>
          <w:sz w:val="22"/>
          <w:szCs w:val="22"/>
        </w:rPr>
        <w:t xml:space="preserve"> a Title V major source of air pollution in accordance with Chapter 62-213, F.A.C. because the potential emissions of at least one regulated pollutant exceed 100 tons/year.  Key regulated pollutants include CO, NO</w:t>
      </w:r>
      <w:r w:rsidR="00402247" w:rsidRPr="00402247">
        <w:rPr>
          <w:sz w:val="22"/>
          <w:szCs w:val="22"/>
          <w:vertAlign w:val="subscript"/>
        </w:rPr>
        <w:t>X</w:t>
      </w:r>
      <w:r w:rsidR="00402247" w:rsidRPr="00402247">
        <w:rPr>
          <w:sz w:val="22"/>
          <w:szCs w:val="22"/>
        </w:rPr>
        <w:t>, PM, PM</w:t>
      </w:r>
      <w:r w:rsidR="00402247" w:rsidRPr="00402247">
        <w:rPr>
          <w:sz w:val="22"/>
          <w:szCs w:val="22"/>
          <w:vertAlign w:val="subscript"/>
        </w:rPr>
        <w:t>10</w:t>
      </w:r>
      <w:r w:rsidR="00402247" w:rsidRPr="00402247">
        <w:rPr>
          <w:sz w:val="22"/>
          <w:szCs w:val="22"/>
        </w:rPr>
        <w:t>, PM</w:t>
      </w:r>
      <w:r w:rsidR="00402247" w:rsidRPr="00402247">
        <w:rPr>
          <w:sz w:val="22"/>
          <w:szCs w:val="22"/>
          <w:vertAlign w:val="subscript"/>
        </w:rPr>
        <w:t>2.5</w:t>
      </w:r>
      <w:r w:rsidR="00402247" w:rsidRPr="00402247">
        <w:rPr>
          <w:sz w:val="22"/>
          <w:szCs w:val="22"/>
        </w:rPr>
        <w:t>, SO</w:t>
      </w:r>
      <w:r w:rsidR="00402247" w:rsidRPr="00402247">
        <w:rPr>
          <w:sz w:val="22"/>
          <w:szCs w:val="22"/>
          <w:vertAlign w:val="subscript"/>
        </w:rPr>
        <w:t>2</w:t>
      </w:r>
      <w:r w:rsidR="00402247" w:rsidRPr="00402247">
        <w:rPr>
          <w:sz w:val="22"/>
          <w:szCs w:val="22"/>
        </w:rPr>
        <w:t>, VOC and SAM.</w:t>
      </w:r>
    </w:p>
    <w:p w:rsidR="00404E42" w:rsidRDefault="00404E42" w:rsidP="00404E42">
      <w:pPr>
        <w:numPr>
          <w:ilvl w:val="0"/>
          <w:numId w:val="3"/>
        </w:numPr>
        <w:spacing w:after="120"/>
        <w:rPr>
          <w:sz w:val="22"/>
          <w:szCs w:val="22"/>
        </w:rPr>
      </w:pPr>
      <w:r w:rsidRPr="00675A02">
        <w:rPr>
          <w:sz w:val="22"/>
          <w:szCs w:val="22"/>
        </w:rPr>
        <w:t>The facility is a major stationary source in accordance with Rule 62-212.400(PSD), F.A.C.</w:t>
      </w:r>
    </w:p>
    <w:p w:rsidR="00402247" w:rsidRPr="006C1FDA" w:rsidRDefault="00402247" w:rsidP="00402247">
      <w:pPr>
        <w:widowControl w:val="0"/>
        <w:numPr>
          <w:ilvl w:val="0"/>
          <w:numId w:val="3"/>
        </w:numPr>
        <w:spacing w:after="120"/>
        <w:rPr>
          <w:sz w:val="22"/>
          <w:szCs w:val="22"/>
        </w:rPr>
      </w:pPr>
      <w:r w:rsidRPr="006C1FDA">
        <w:rPr>
          <w:sz w:val="22"/>
          <w:szCs w:val="22"/>
        </w:rPr>
        <w:t>The proposed project includes units subject to the NSPS of 40 CFR 60.</w:t>
      </w:r>
    </w:p>
    <w:p w:rsidR="00402247" w:rsidRPr="006C1FDA" w:rsidRDefault="00402247" w:rsidP="00402247">
      <w:pPr>
        <w:numPr>
          <w:ilvl w:val="0"/>
          <w:numId w:val="3"/>
        </w:numPr>
        <w:spacing w:after="120"/>
        <w:rPr>
          <w:sz w:val="22"/>
          <w:szCs w:val="22"/>
        </w:rPr>
      </w:pPr>
      <w:r w:rsidRPr="006C1FDA">
        <w:rPr>
          <w:sz w:val="22"/>
          <w:szCs w:val="22"/>
        </w:rPr>
        <w:t>The proposed project includes units subject to the NESHAP of 40 CFR 63.</w:t>
      </w:r>
    </w:p>
    <w:p w:rsidR="00402247" w:rsidRPr="006C1FDA" w:rsidRDefault="00402247" w:rsidP="00402247">
      <w:pPr>
        <w:numPr>
          <w:ilvl w:val="0"/>
          <w:numId w:val="3"/>
        </w:numPr>
        <w:spacing w:after="120"/>
        <w:rPr>
          <w:sz w:val="22"/>
          <w:szCs w:val="22"/>
        </w:rPr>
      </w:pPr>
      <w:r w:rsidRPr="006C1FDA">
        <w:rPr>
          <w:sz w:val="22"/>
          <w:szCs w:val="22"/>
        </w:rPr>
        <w:t xml:space="preserve">The project is subject to certification under the Florida Power Plant Siting Act, 403.501-518, F.S. and Chapter 62-17, F.A.C.  </w:t>
      </w:r>
    </w:p>
    <w:bookmarkEnd w:id="3"/>
    <w:p w:rsidR="00634F21" w:rsidRPr="00402247" w:rsidRDefault="00634F21" w:rsidP="00402247">
      <w:pPr>
        <w:pStyle w:val="ListParagraph"/>
        <w:numPr>
          <w:ilvl w:val="1"/>
          <w:numId w:val="13"/>
        </w:numPr>
        <w:spacing w:after="120"/>
        <w:ind w:left="720" w:hanging="720"/>
        <w:rPr>
          <w:b/>
          <w:bCs/>
          <w:sz w:val="22"/>
          <w:szCs w:val="22"/>
        </w:rPr>
      </w:pPr>
      <w:r w:rsidRPr="00402247">
        <w:rPr>
          <w:b/>
          <w:bCs/>
          <w:sz w:val="22"/>
          <w:szCs w:val="22"/>
        </w:rPr>
        <w:t xml:space="preserve">Project Description </w:t>
      </w:r>
    </w:p>
    <w:p w:rsidR="00D65A10" w:rsidRDefault="00404E42" w:rsidP="00634F21">
      <w:pPr>
        <w:pStyle w:val="BodyText3"/>
        <w:numPr>
          <w:ilvl w:val="12"/>
          <w:numId w:val="0"/>
        </w:numPr>
        <w:rPr>
          <w:szCs w:val="22"/>
        </w:rPr>
      </w:pPr>
      <w:r>
        <w:rPr>
          <w:szCs w:val="22"/>
        </w:rPr>
        <w:t>JEA</w:t>
      </w:r>
      <w:r w:rsidR="00634F21" w:rsidRPr="000040F2">
        <w:rPr>
          <w:szCs w:val="22"/>
        </w:rPr>
        <w:t xml:space="preserve"> applied on </w:t>
      </w:r>
      <w:r>
        <w:rPr>
          <w:szCs w:val="22"/>
        </w:rPr>
        <w:t>August 25</w:t>
      </w:r>
      <w:r w:rsidR="00634F21" w:rsidRPr="000040F2">
        <w:rPr>
          <w:szCs w:val="22"/>
        </w:rPr>
        <w:t>, 201</w:t>
      </w:r>
      <w:r w:rsidR="00634F21">
        <w:rPr>
          <w:szCs w:val="22"/>
        </w:rPr>
        <w:t>4</w:t>
      </w:r>
      <w:r w:rsidR="00634F21" w:rsidRPr="000040F2">
        <w:rPr>
          <w:szCs w:val="22"/>
        </w:rPr>
        <w:t xml:space="preserve">, to the Department for a minor source air construction </w:t>
      </w:r>
      <w:r w:rsidR="00634F21">
        <w:rPr>
          <w:szCs w:val="22"/>
        </w:rPr>
        <w:t xml:space="preserve">(AC) </w:t>
      </w:r>
      <w:r w:rsidR="00634F21" w:rsidRPr="000040F2">
        <w:rPr>
          <w:szCs w:val="22"/>
        </w:rPr>
        <w:t>permit</w:t>
      </w:r>
      <w:r>
        <w:rPr>
          <w:szCs w:val="22"/>
        </w:rPr>
        <w:t xml:space="preserve">.  The applicant has requested permission to reintroduce a mixture of fly ash and bottom ash into NGS </w:t>
      </w:r>
      <w:r w:rsidR="00932B01">
        <w:rPr>
          <w:szCs w:val="22"/>
        </w:rPr>
        <w:t xml:space="preserve">Units </w:t>
      </w:r>
      <w:r>
        <w:rPr>
          <w:szCs w:val="22"/>
        </w:rPr>
        <w:t>1 and 2.  Units 1 and 2 are circulating fluidized bed boilers, capable of burning coal, coal with latex, petroleum coke, biomass, natural gas, and landfill gas.</w:t>
      </w:r>
      <w:r w:rsidR="00D65A10">
        <w:rPr>
          <w:szCs w:val="22"/>
        </w:rPr>
        <w:t xml:space="preserve">  The </w:t>
      </w:r>
      <w:r w:rsidR="00C77446">
        <w:rPr>
          <w:szCs w:val="22"/>
        </w:rPr>
        <w:t xml:space="preserve">ash </w:t>
      </w:r>
      <w:r w:rsidR="00D65A10">
        <w:rPr>
          <w:szCs w:val="22"/>
        </w:rPr>
        <w:t>by-product will be obtained from on-site storage facilities, and it will consist of approximately 60% fly ash and 40% bottom ash.  The reintroduction of ash is expected to assist both in operation of the circulating fluidized beds in the boilers and in the control of SO</w:t>
      </w:r>
      <w:r w:rsidR="00D65A10" w:rsidRPr="00C77446">
        <w:rPr>
          <w:szCs w:val="22"/>
          <w:vertAlign w:val="subscript"/>
        </w:rPr>
        <w:t>2</w:t>
      </w:r>
      <w:r w:rsidR="00D65A10">
        <w:rPr>
          <w:szCs w:val="22"/>
        </w:rPr>
        <w:t xml:space="preserve"> emissions, since the ash have a significant available lime index</w:t>
      </w:r>
      <w:r w:rsidR="00C77446">
        <w:rPr>
          <w:szCs w:val="22"/>
        </w:rPr>
        <w:t>, which may reduce the amount of limestone needed for SO</w:t>
      </w:r>
      <w:r w:rsidR="00C77446" w:rsidRPr="00C77446">
        <w:rPr>
          <w:szCs w:val="22"/>
          <w:vertAlign w:val="subscript"/>
        </w:rPr>
        <w:t>2</w:t>
      </w:r>
      <w:r w:rsidR="00C77446">
        <w:rPr>
          <w:szCs w:val="22"/>
        </w:rPr>
        <w:t xml:space="preserve"> control.</w:t>
      </w:r>
    </w:p>
    <w:p w:rsidR="00581C7F" w:rsidRDefault="00581C7F" w:rsidP="00634F21">
      <w:pPr>
        <w:pStyle w:val="BodyText3"/>
        <w:numPr>
          <w:ilvl w:val="12"/>
          <w:numId w:val="0"/>
        </w:numPr>
        <w:rPr>
          <w:szCs w:val="22"/>
        </w:rPr>
      </w:pPr>
      <w:r>
        <w:rPr>
          <w:szCs w:val="22"/>
        </w:rPr>
        <w:t xml:space="preserve">NGS consists of three boilers and four combustion turbines.  </w:t>
      </w:r>
      <w:r w:rsidR="00932B01">
        <w:rPr>
          <w:szCs w:val="22"/>
        </w:rPr>
        <w:t xml:space="preserve">Units 1 and 2 are circulating fluidized bed boilers, fired by coal, coal coated with latex, petroleum coke, biomass, natural gas, and landfill gas.  NGS Unit 3 is a pre-NSPS boiler fired by natural gas, landfill gas, No. 6 residual fuel oil, and used oil.  The four NGS combustion </w:t>
      </w:r>
      <w:r w:rsidR="00932B01">
        <w:rPr>
          <w:szCs w:val="22"/>
        </w:rPr>
        <w:lastRenderedPageBreak/>
        <w:t>turbines are fired with low-sulfur fuel oil.  SJRPP consists of two boilers, fired with pulverized coal, a blend of petroleum coke and coal, natural gas, No. 2 distillate fuel oil, and used oil.</w:t>
      </w:r>
    </w:p>
    <w:p w:rsidR="00932B01" w:rsidRDefault="00932B01" w:rsidP="00634F21">
      <w:pPr>
        <w:pStyle w:val="BodyText3"/>
        <w:numPr>
          <w:ilvl w:val="12"/>
          <w:numId w:val="0"/>
        </w:numPr>
        <w:rPr>
          <w:szCs w:val="22"/>
        </w:rPr>
      </w:pPr>
      <w:r>
        <w:rPr>
          <w:szCs w:val="22"/>
        </w:rPr>
        <w:t>This project involves only NGS Units 1 and 2.</w:t>
      </w:r>
    </w:p>
    <w:p w:rsidR="001C4E37" w:rsidRPr="00402247" w:rsidRDefault="001C4E37" w:rsidP="00402247">
      <w:pPr>
        <w:pStyle w:val="ListParagraph"/>
        <w:numPr>
          <w:ilvl w:val="1"/>
          <w:numId w:val="13"/>
        </w:numPr>
        <w:spacing w:after="120"/>
        <w:ind w:left="720" w:hanging="720"/>
        <w:rPr>
          <w:b/>
          <w:bCs/>
          <w:sz w:val="22"/>
          <w:szCs w:val="22"/>
        </w:rPr>
      </w:pPr>
      <w:r w:rsidRPr="00402247">
        <w:rPr>
          <w:b/>
          <w:bCs/>
          <w:sz w:val="22"/>
          <w:szCs w:val="22"/>
        </w:rPr>
        <w:t>Processing Schedule</w:t>
      </w:r>
    </w:p>
    <w:p w:rsidR="001C4E37" w:rsidRPr="00782ABD" w:rsidRDefault="00404E42" w:rsidP="00302267">
      <w:pPr>
        <w:pStyle w:val="BodyText"/>
        <w:numPr>
          <w:ilvl w:val="12"/>
          <w:numId w:val="0"/>
        </w:numPr>
        <w:tabs>
          <w:tab w:val="left" w:pos="990"/>
        </w:tabs>
        <w:spacing w:after="60"/>
        <w:rPr>
          <w:sz w:val="22"/>
        </w:rPr>
      </w:pPr>
      <w:r>
        <w:rPr>
          <w:sz w:val="22"/>
        </w:rPr>
        <w:t xml:space="preserve">August 25, </w:t>
      </w:r>
      <w:r w:rsidR="00362109">
        <w:rPr>
          <w:sz w:val="22"/>
        </w:rPr>
        <w:t>2014</w:t>
      </w:r>
      <w:r w:rsidR="001C4E37" w:rsidRPr="00782ABD">
        <w:rPr>
          <w:sz w:val="22"/>
        </w:rPr>
        <w:tab/>
      </w:r>
      <w:r w:rsidR="00D85E96">
        <w:rPr>
          <w:sz w:val="22"/>
        </w:rPr>
        <w:tab/>
      </w:r>
      <w:proofErr w:type="gramStart"/>
      <w:r w:rsidR="001C4E37" w:rsidRPr="00782ABD">
        <w:rPr>
          <w:sz w:val="22"/>
        </w:rPr>
        <w:t>Received</w:t>
      </w:r>
      <w:proofErr w:type="gramEnd"/>
      <w:r w:rsidR="001C4E37" w:rsidRPr="00782ABD">
        <w:rPr>
          <w:sz w:val="22"/>
        </w:rPr>
        <w:t xml:space="preserve"> the application for a minor source air pollution construction permit.</w:t>
      </w:r>
    </w:p>
    <w:p w:rsidR="001C4E37" w:rsidRDefault="00D85E96" w:rsidP="00302267">
      <w:pPr>
        <w:pStyle w:val="BodyText"/>
        <w:numPr>
          <w:ilvl w:val="12"/>
          <w:numId w:val="0"/>
        </w:numPr>
        <w:tabs>
          <w:tab w:val="left" w:pos="990"/>
        </w:tabs>
        <w:spacing w:after="60"/>
        <w:rPr>
          <w:sz w:val="22"/>
        </w:rPr>
      </w:pPr>
      <w:r>
        <w:rPr>
          <w:sz w:val="22"/>
        </w:rPr>
        <w:t>September 19</w:t>
      </w:r>
      <w:r w:rsidR="00404E42">
        <w:rPr>
          <w:sz w:val="22"/>
        </w:rPr>
        <w:t>, 2014</w:t>
      </w:r>
      <w:r w:rsidR="001C4E37" w:rsidRPr="00782ABD">
        <w:rPr>
          <w:sz w:val="22"/>
        </w:rPr>
        <w:tab/>
      </w:r>
      <w:r>
        <w:rPr>
          <w:sz w:val="22"/>
        </w:rPr>
        <w:tab/>
        <w:t>Request for additional information sent to JEA</w:t>
      </w:r>
      <w:r w:rsidR="001C4E37" w:rsidRPr="00782ABD">
        <w:rPr>
          <w:sz w:val="22"/>
        </w:rPr>
        <w:t>.</w:t>
      </w:r>
    </w:p>
    <w:p w:rsidR="00D85E96" w:rsidRDefault="00D85E96" w:rsidP="00302267">
      <w:pPr>
        <w:pStyle w:val="BodyText"/>
        <w:numPr>
          <w:ilvl w:val="12"/>
          <w:numId w:val="0"/>
        </w:numPr>
        <w:tabs>
          <w:tab w:val="left" w:pos="990"/>
        </w:tabs>
        <w:spacing w:after="60"/>
        <w:rPr>
          <w:sz w:val="22"/>
        </w:rPr>
      </w:pPr>
      <w:r>
        <w:rPr>
          <w:sz w:val="22"/>
        </w:rPr>
        <w:t>October 15, 2014</w:t>
      </w:r>
      <w:r>
        <w:rPr>
          <w:sz w:val="22"/>
        </w:rPr>
        <w:tab/>
      </w:r>
      <w:r>
        <w:rPr>
          <w:sz w:val="22"/>
        </w:rPr>
        <w:tab/>
        <w:t>Received additional information; application complete.</w:t>
      </w:r>
    </w:p>
    <w:p w:rsidR="00C77446" w:rsidRPr="00782ABD" w:rsidRDefault="009D733B" w:rsidP="00302267">
      <w:pPr>
        <w:pStyle w:val="BodyText"/>
        <w:numPr>
          <w:ilvl w:val="12"/>
          <w:numId w:val="0"/>
        </w:numPr>
        <w:tabs>
          <w:tab w:val="left" w:pos="990"/>
        </w:tabs>
        <w:spacing w:after="60"/>
        <w:rPr>
          <w:sz w:val="22"/>
        </w:rPr>
      </w:pPr>
      <w:r>
        <w:rPr>
          <w:sz w:val="22"/>
        </w:rPr>
        <w:t>November 14, 2014</w:t>
      </w:r>
      <w:r>
        <w:rPr>
          <w:sz w:val="22"/>
        </w:rPr>
        <w:tab/>
      </w:r>
      <w:r>
        <w:rPr>
          <w:sz w:val="22"/>
        </w:rPr>
        <w:tab/>
        <w:t>Draft permit package issued.</w:t>
      </w:r>
    </w:p>
    <w:p w:rsidR="00193F10" w:rsidRDefault="00D51D78" w:rsidP="009725FD">
      <w:pPr>
        <w:pStyle w:val="ListParagraph"/>
        <w:numPr>
          <w:ilvl w:val="0"/>
          <w:numId w:val="13"/>
        </w:numPr>
        <w:spacing w:after="120"/>
        <w:ind w:left="720" w:hanging="720"/>
        <w:contextualSpacing w:val="0"/>
        <w:rPr>
          <w:b/>
          <w:caps/>
          <w:sz w:val="22"/>
        </w:rPr>
      </w:pPr>
      <w:r>
        <w:rPr>
          <w:b/>
          <w:caps/>
          <w:sz w:val="22"/>
        </w:rPr>
        <w:t>PSD Applicability</w:t>
      </w:r>
    </w:p>
    <w:p w:rsidR="00D51D78" w:rsidRPr="009725FD" w:rsidRDefault="00D51D78" w:rsidP="009725FD">
      <w:pPr>
        <w:pStyle w:val="ListParagraph"/>
        <w:numPr>
          <w:ilvl w:val="1"/>
          <w:numId w:val="13"/>
        </w:numPr>
        <w:spacing w:after="120"/>
        <w:ind w:left="720" w:hanging="720"/>
        <w:contextualSpacing w:val="0"/>
        <w:rPr>
          <w:b/>
          <w:caps/>
          <w:sz w:val="22"/>
        </w:rPr>
      </w:pPr>
      <w:r w:rsidRPr="00193F10">
        <w:rPr>
          <w:b/>
          <w:sz w:val="22"/>
        </w:rPr>
        <w:t xml:space="preserve">General </w:t>
      </w:r>
      <w:r>
        <w:rPr>
          <w:b/>
          <w:sz w:val="22"/>
        </w:rPr>
        <w:t xml:space="preserve">PSD </w:t>
      </w:r>
      <w:r w:rsidRPr="00193F10">
        <w:rPr>
          <w:b/>
          <w:sz w:val="22"/>
        </w:rPr>
        <w:t>Applicability</w:t>
      </w:r>
    </w:p>
    <w:p w:rsidR="00A707D8" w:rsidRPr="007901D6" w:rsidRDefault="00A707D8" w:rsidP="00A707D8">
      <w:pPr>
        <w:widowControl w:val="0"/>
        <w:spacing w:after="120"/>
        <w:rPr>
          <w:rFonts w:eastAsia="Calibri"/>
          <w:sz w:val="22"/>
          <w:szCs w:val="22"/>
        </w:rPr>
      </w:pPr>
      <w:r w:rsidRPr="007901D6">
        <w:rPr>
          <w:rFonts w:eastAsia="Calibri"/>
          <w:sz w:val="22"/>
          <w:szCs w:val="22"/>
        </w:rPr>
        <w:t xml:space="preserve">The Department regulates major stationary sources in accordance with Florida’s PSD program pursuant to Rule 62-212.400, F.A.C.  PSD preconstruction review is required in areas that are currently in attainment with the state and federal ambient air quality standards (AAQS) or areas designated as “unclassifiable” for these regulated pollutants.  </w:t>
      </w:r>
      <w:r w:rsidRPr="007901D6">
        <w:rPr>
          <w:sz w:val="22"/>
          <w:szCs w:val="22"/>
        </w:rPr>
        <w:t xml:space="preserve">The project is located in </w:t>
      </w:r>
      <w:r w:rsidR="00C77446">
        <w:rPr>
          <w:sz w:val="22"/>
          <w:szCs w:val="22"/>
        </w:rPr>
        <w:t>Duval</w:t>
      </w:r>
      <w:r w:rsidR="00FC3D22">
        <w:rPr>
          <w:sz w:val="22"/>
          <w:szCs w:val="22"/>
        </w:rPr>
        <w:t xml:space="preserve"> </w:t>
      </w:r>
      <w:r w:rsidRPr="007901D6">
        <w:rPr>
          <w:sz w:val="22"/>
          <w:szCs w:val="22"/>
        </w:rPr>
        <w:t xml:space="preserve">County, which is in an area that is currently in attainment with the state and federal AAQS or otherwise designated as unclassifiable.  </w:t>
      </w:r>
    </w:p>
    <w:p w:rsidR="00A707D8" w:rsidRDefault="00A707D8" w:rsidP="00A707D8">
      <w:pPr>
        <w:widowControl w:val="0"/>
        <w:spacing w:after="120"/>
        <w:rPr>
          <w:rFonts w:eastAsia="Calibri"/>
          <w:sz w:val="22"/>
          <w:szCs w:val="22"/>
        </w:rPr>
      </w:pPr>
      <w:r>
        <w:rPr>
          <w:rFonts w:eastAsia="Calibri"/>
          <w:sz w:val="22"/>
          <w:szCs w:val="22"/>
        </w:rPr>
        <w:t>The key requirement of a PSD review include:  employment of Best Available Control Technology; a demonstration that the project will not cause or contribute to a violation of a state of federal AAQS or increment; and a demonstration that the project will not cause adverse impacts to Air Quality Related Values (AQRVs) such as visibility, soils and vegetation.</w:t>
      </w:r>
    </w:p>
    <w:p w:rsidR="00A707D8" w:rsidRDefault="00A707D8" w:rsidP="00A707D8">
      <w:pPr>
        <w:widowControl w:val="0"/>
        <w:spacing w:after="120"/>
        <w:rPr>
          <w:rFonts w:eastAsia="Calibri"/>
          <w:sz w:val="22"/>
          <w:szCs w:val="22"/>
        </w:rPr>
      </w:pPr>
      <w:r w:rsidRPr="007901D6">
        <w:rPr>
          <w:rFonts w:eastAsia="Calibri"/>
          <w:sz w:val="22"/>
          <w:szCs w:val="22"/>
        </w:rPr>
        <w:t>Commonly addressed PSD pollutants include: CO, NO</w:t>
      </w:r>
      <w:r w:rsidRPr="007901D6">
        <w:rPr>
          <w:rFonts w:eastAsia="Calibri"/>
          <w:sz w:val="22"/>
          <w:szCs w:val="22"/>
          <w:vertAlign w:val="subscript"/>
        </w:rPr>
        <w:t>X</w:t>
      </w:r>
      <w:r w:rsidRPr="007901D6">
        <w:rPr>
          <w:rFonts w:eastAsia="Calibri"/>
          <w:sz w:val="22"/>
          <w:szCs w:val="22"/>
        </w:rPr>
        <w:t>, PM, PM</w:t>
      </w:r>
      <w:r w:rsidRPr="007901D6">
        <w:rPr>
          <w:rFonts w:eastAsia="Calibri"/>
          <w:sz w:val="22"/>
          <w:szCs w:val="22"/>
          <w:vertAlign w:val="subscript"/>
        </w:rPr>
        <w:t>10</w:t>
      </w:r>
      <w:r w:rsidRPr="007901D6">
        <w:rPr>
          <w:rFonts w:eastAsia="Calibri"/>
          <w:sz w:val="22"/>
          <w:szCs w:val="22"/>
        </w:rPr>
        <w:t>, PM</w:t>
      </w:r>
      <w:r w:rsidRPr="007901D6">
        <w:rPr>
          <w:rFonts w:eastAsia="Calibri"/>
          <w:sz w:val="22"/>
          <w:szCs w:val="22"/>
          <w:vertAlign w:val="subscript"/>
        </w:rPr>
        <w:t>2.5</w:t>
      </w:r>
      <w:r w:rsidRPr="007901D6">
        <w:rPr>
          <w:rFonts w:eastAsia="Calibri"/>
          <w:sz w:val="22"/>
          <w:szCs w:val="22"/>
        </w:rPr>
        <w:t>, SO</w:t>
      </w:r>
      <w:r w:rsidRPr="007901D6">
        <w:rPr>
          <w:rFonts w:eastAsia="Calibri"/>
          <w:sz w:val="22"/>
          <w:szCs w:val="22"/>
          <w:vertAlign w:val="subscript"/>
        </w:rPr>
        <w:t>2</w:t>
      </w:r>
      <w:r w:rsidRPr="007901D6">
        <w:rPr>
          <w:rFonts w:eastAsia="Calibri"/>
          <w:sz w:val="22"/>
          <w:szCs w:val="22"/>
        </w:rPr>
        <w:t>, VOC, SAM, Pb, fluorides (F), and Hg.  G</w:t>
      </w:r>
      <w:r>
        <w:rPr>
          <w:rFonts w:eastAsia="Calibri"/>
          <w:sz w:val="22"/>
          <w:szCs w:val="22"/>
        </w:rPr>
        <w:t>reenhouse gases (G</w:t>
      </w:r>
      <w:r w:rsidRPr="007901D6">
        <w:rPr>
          <w:rFonts w:eastAsia="Calibri"/>
          <w:sz w:val="22"/>
          <w:szCs w:val="22"/>
        </w:rPr>
        <w:t>HGs</w:t>
      </w:r>
      <w:r>
        <w:rPr>
          <w:rFonts w:eastAsia="Calibri"/>
          <w:sz w:val="22"/>
          <w:szCs w:val="22"/>
        </w:rPr>
        <w:t>)</w:t>
      </w:r>
      <w:r w:rsidRPr="007901D6">
        <w:rPr>
          <w:rFonts w:eastAsia="Calibri"/>
          <w:sz w:val="22"/>
          <w:szCs w:val="22"/>
        </w:rPr>
        <w:t xml:space="preserve"> is defined at section 40 CFR 86.1818-12(a) as the aggregate group of gases including CO</w:t>
      </w:r>
      <w:r w:rsidRPr="007901D6">
        <w:rPr>
          <w:rFonts w:eastAsia="Calibri"/>
          <w:sz w:val="22"/>
          <w:szCs w:val="22"/>
          <w:vertAlign w:val="subscript"/>
        </w:rPr>
        <w:t>2</w:t>
      </w:r>
      <w:r w:rsidRPr="007901D6">
        <w:rPr>
          <w:rFonts w:eastAsia="Calibri"/>
          <w:sz w:val="22"/>
          <w:szCs w:val="22"/>
        </w:rPr>
        <w:t>, nitrous oxide (N</w:t>
      </w:r>
      <w:r w:rsidRPr="007901D6">
        <w:rPr>
          <w:rFonts w:eastAsia="Calibri"/>
          <w:sz w:val="22"/>
          <w:szCs w:val="22"/>
          <w:vertAlign w:val="subscript"/>
        </w:rPr>
        <w:t>2</w:t>
      </w:r>
      <w:r w:rsidRPr="007901D6">
        <w:rPr>
          <w:rFonts w:eastAsia="Calibri"/>
          <w:sz w:val="22"/>
          <w:szCs w:val="22"/>
        </w:rPr>
        <w:t>O), methane CH</w:t>
      </w:r>
      <w:r w:rsidRPr="007901D6">
        <w:rPr>
          <w:rFonts w:eastAsia="Calibri"/>
          <w:sz w:val="22"/>
          <w:szCs w:val="22"/>
          <w:vertAlign w:val="subscript"/>
        </w:rPr>
        <w:t>4</w:t>
      </w:r>
      <w:r w:rsidRPr="007901D6">
        <w:rPr>
          <w:rFonts w:eastAsia="Calibri"/>
          <w:sz w:val="22"/>
          <w:szCs w:val="22"/>
        </w:rPr>
        <w:t>, hydrofluorocarbons (HFCs), perfluorocarbons (PFCs), and sulfur hexafluoride (SF</w:t>
      </w:r>
      <w:r w:rsidRPr="007901D6">
        <w:rPr>
          <w:rFonts w:eastAsia="Calibri"/>
          <w:sz w:val="22"/>
          <w:szCs w:val="22"/>
          <w:vertAlign w:val="subscript"/>
        </w:rPr>
        <w:t>6</w:t>
      </w:r>
      <w:r w:rsidRPr="007901D6">
        <w:rPr>
          <w:rFonts w:eastAsia="Calibri"/>
          <w:sz w:val="22"/>
          <w:szCs w:val="22"/>
        </w:rPr>
        <w:t>).  GHGs is expressed as CO</w:t>
      </w:r>
      <w:r w:rsidRPr="007901D6">
        <w:rPr>
          <w:rFonts w:eastAsia="Calibri"/>
          <w:sz w:val="22"/>
          <w:szCs w:val="22"/>
          <w:vertAlign w:val="subscript"/>
        </w:rPr>
        <w:t>2</w:t>
      </w:r>
      <w:r w:rsidRPr="007901D6">
        <w:rPr>
          <w:rFonts w:eastAsia="Calibri"/>
          <w:sz w:val="22"/>
          <w:szCs w:val="22"/>
        </w:rPr>
        <w:t>-equivalent (CO</w:t>
      </w:r>
      <w:r w:rsidRPr="007901D6">
        <w:rPr>
          <w:rFonts w:eastAsia="Calibri"/>
          <w:sz w:val="22"/>
          <w:szCs w:val="22"/>
          <w:vertAlign w:val="subscript"/>
        </w:rPr>
        <w:t>2</w:t>
      </w:r>
      <w:r w:rsidRPr="007901D6">
        <w:rPr>
          <w:rFonts w:eastAsia="Calibri"/>
          <w:sz w:val="22"/>
          <w:szCs w:val="22"/>
        </w:rPr>
        <w:t xml:space="preserve">e).  </w:t>
      </w:r>
    </w:p>
    <w:p w:rsidR="00A707D8" w:rsidRPr="00A707D8" w:rsidRDefault="00A707D8" w:rsidP="009725FD">
      <w:pPr>
        <w:pStyle w:val="ListParagraph"/>
        <w:numPr>
          <w:ilvl w:val="1"/>
          <w:numId w:val="13"/>
        </w:numPr>
        <w:spacing w:after="120"/>
        <w:ind w:left="720" w:hanging="720"/>
        <w:contextualSpacing w:val="0"/>
        <w:rPr>
          <w:b/>
          <w:caps/>
          <w:sz w:val="22"/>
        </w:rPr>
      </w:pPr>
      <w:r w:rsidRPr="00A707D8">
        <w:rPr>
          <w:b/>
          <w:sz w:val="22"/>
          <w:szCs w:val="22"/>
        </w:rPr>
        <w:t>Definition of a Major Stationary Source</w:t>
      </w:r>
    </w:p>
    <w:p w:rsidR="00A707D8" w:rsidRPr="007901D6" w:rsidRDefault="00A707D8" w:rsidP="00A707D8">
      <w:pPr>
        <w:pStyle w:val="Default"/>
        <w:spacing w:after="120"/>
        <w:rPr>
          <w:sz w:val="22"/>
          <w:szCs w:val="22"/>
        </w:rPr>
      </w:pPr>
      <w:r w:rsidRPr="007901D6">
        <w:rPr>
          <w:rFonts w:eastAsia="Calibri"/>
          <w:sz w:val="22"/>
          <w:szCs w:val="22"/>
        </w:rPr>
        <w:t xml:space="preserve">As defined in Rule 62-210.200(Definitions), F.A.C., </w:t>
      </w:r>
      <w:r w:rsidRPr="007901D6">
        <w:rPr>
          <w:sz w:val="22"/>
          <w:szCs w:val="22"/>
        </w:rPr>
        <w:t>a stationary source is a “major stationary source” (major PSD source) if it emits or has the potential to emit (PTE):</w:t>
      </w:r>
    </w:p>
    <w:p w:rsidR="00A707D8" w:rsidRPr="007901D6" w:rsidRDefault="00A707D8" w:rsidP="00A707D8">
      <w:pPr>
        <w:pStyle w:val="Default"/>
        <w:numPr>
          <w:ilvl w:val="0"/>
          <w:numId w:val="8"/>
        </w:numPr>
        <w:spacing w:after="120"/>
        <w:ind w:left="360"/>
        <w:rPr>
          <w:rFonts w:eastAsia="Calibri"/>
          <w:sz w:val="22"/>
          <w:szCs w:val="22"/>
        </w:rPr>
      </w:pPr>
      <w:r w:rsidRPr="007901D6">
        <w:rPr>
          <w:sz w:val="22"/>
          <w:szCs w:val="22"/>
        </w:rPr>
        <w:t xml:space="preserve">250 tons per year (tons/year) or more of any PSD pollutant; </w:t>
      </w:r>
      <w:r w:rsidRPr="007901D6">
        <w:rPr>
          <w:sz w:val="22"/>
          <w:szCs w:val="22"/>
          <w:u w:val="single"/>
        </w:rPr>
        <w:t>or</w:t>
      </w:r>
      <w:r w:rsidRPr="007901D6">
        <w:rPr>
          <w:sz w:val="22"/>
          <w:szCs w:val="22"/>
        </w:rPr>
        <w:t xml:space="preserve"> </w:t>
      </w:r>
    </w:p>
    <w:p w:rsidR="00A707D8" w:rsidRPr="007901D6" w:rsidRDefault="00A707D8" w:rsidP="00A707D8">
      <w:pPr>
        <w:pStyle w:val="Default"/>
        <w:numPr>
          <w:ilvl w:val="0"/>
          <w:numId w:val="8"/>
        </w:numPr>
        <w:spacing w:after="120"/>
        <w:ind w:left="360"/>
        <w:rPr>
          <w:rFonts w:eastAsia="Calibri"/>
          <w:sz w:val="22"/>
          <w:szCs w:val="22"/>
        </w:rPr>
      </w:pPr>
      <w:r w:rsidRPr="007901D6">
        <w:rPr>
          <w:sz w:val="22"/>
          <w:szCs w:val="22"/>
        </w:rPr>
        <w:t xml:space="preserve">100 tons/year or more of any PSD pollutant </w:t>
      </w:r>
      <w:r w:rsidRPr="007901D6">
        <w:rPr>
          <w:sz w:val="22"/>
          <w:szCs w:val="22"/>
          <w:u w:val="single"/>
        </w:rPr>
        <w:t>and</w:t>
      </w:r>
      <w:r w:rsidRPr="007901D6">
        <w:rPr>
          <w:sz w:val="22"/>
          <w:szCs w:val="22"/>
        </w:rPr>
        <w:t xml:space="preserve"> the facility belongs to one of the 28 listed PSD major facility categories</w:t>
      </w:r>
      <w:r>
        <w:rPr>
          <w:sz w:val="22"/>
          <w:szCs w:val="22"/>
        </w:rPr>
        <w:t>;</w:t>
      </w:r>
      <w:r w:rsidRPr="007901D6">
        <w:rPr>
          <w:sz w:val="22"/>
          <w:szCs w:val="22"/>
        </w:rPr>
        <w:t xml:space="preserve">  </w:t>
      </w:r>
    </w:p>
    <w:p w:rsidR="00A707D8" w:rsidRPr="00942517" w:rsidRDefault="00A707D8" w:rsidP="002146EA">
      <w:pPr>
        <w:pStyle w:val="Default"/>
        <w:widowControl w:val="0"/>
        <w:numPr>
          <w:ilvl w:val="0"/>
          <w:numId w:val="8"/>
        </w:numPr>
        <w:spacing w:after="120"/>
        <w:ind w:left="360"/>
        <w:rPr>
          <w:rFonts w:eastAsia="Calibri"/>
          <w:sz w:val="22"/>
          <w:szCs w:val="22"/>
        </w:rPr>
      </w:pPr>
      <w:r w:rsidRPr="00A707D8">
        <w:rPr>
          <w:rFonts w:eastAsia="Calibri"/>
          <w:sz w:val="22"/>
          <w:szCs w:val="22"/>
        </w:rPr>
        <w:t xml:space="preserve">For the special case of </w:t>
      </w:r>
      <w:r w:rsidR="00FC3D22">
        <w:rPr>
          <w:rFonts w:eastAsia="Calibri"/>
          <w:sz w:val="22"/>
          <w:szCs w:val="22"/>
        </w:rPr>
        <w:t>g</w:t>
      </w:r>
      <w:r w:rsidR="00FC3D22" w:rsidRPr="00A707D8">
        <w:rPr>
          <w:rFonts w:eastAsia="Calibri"/>
          <w:sz w:val="22"/>
          <w:szCs w:val="22"/>
        </w:rPr>
        <w:t xml:space="preserve">reenhouse </w:t>
      </w:r>
      <w:r w:rsidRPr="00A707D8">
        <w:rPr>
          <w:rFonts w:eastAsia="Calibri"/>
          <w:sz w:val="22"/>
          <w:szCs w:val="22"/>
        </w:rPr>
        <w:t>gases (GHGs), the facility must first be shown to emit or have a PTE of 100,000 tons/year of GHGs as carbon dioxide equivalent (CO</w:t>
      </w:r>
      <w:r w:rsidRPr="00A707D8">
        <w:rPr>
          <w:rFonts w:eastAsia="Calibri"/>
          <w:sz w:val="22"/>
          <w:szCs w:val="22"/>
          <w:vertAlign w:val="subscript"/>
        </w:rPr>
        <w:t>2</w:t>
      </w:r>
      <w:r w:rsidRPr="00A707D8">
        <w:rPr>
          <w:rFonts w:eastAsia="Calibri"/>
          <w:sz w:val="22"/>
          <w:szCs w:val="22"/>
        </w:rPr>
        <w:t>e) to (possibly) be subject to regulation.</w:t>
      </w:r>
      <w:r>
        <w:rPr>
          <w:rStyle w:val="FootnoteReference"/>
          <w:rFonts w:eastAsia="Calibri"/>
          <w:sz w:val="22"/>
          <w:szCs w:val="22"/>
        </w:rPr>
        <w:footnoteReference w:id="1"/>
      </w:r>
      <w:r w:rsidRPr="00A707D8">
        <w:rPr>
          <w:rFonts w:eastAsia="Calibri"/>
          <w:sz w:val="22"/>
          <w:szCs w:val="22"/>
        </w:rPr>
        <w:t xml:space="preserve">  </w:t>
      </w:r>
      <w:r w:rsidRPr="00942517">
        <w:rPr>
          <w:rFonts w:eastAsia="Calibri"/>
          <w:sz w:val="22"/>
          <w:szCs w:val="22"/>
        </w:rPr>
        <w:t>The listed PSD major facility categories includes “</w:t>
      </w:r>
      <w:r w:rsidR="00C77446" w:rsidRPr="00942517">
        <w:rPr>
          <w:rFonts w:eastAsia="Calibri"/>
          <w:sz w:val="22"/>
          <w:szCs w:val="22"/>
        </w:rPr>
        <w:t>fossil fuel-fired steam electric plants of more than 250 million BTU/hr heat input</w:t>
      </w:r>
      <w:r w:rsidRPr="00942517">
        <w:rPr>
          <w:rFonts w:eastAsia="Calibri"/>
          <w:sz w:val="22"/>
          <w:szCs w:val="22"/>
        </w:rPr>
        <w:t xml:space="preserve">”.  The given category applies to the </w:t>
      </w:r>
      <w:r w:rsidR="00967FAA" w:rsidRPr="00942517">
        <w:rPr>
          <w:sz w:val="22"/>
          <w:szCs w:val="22"/>
        </w:rPr>
        <w:t>NGS/SJRPP facility</w:t>
      </w:r>
      <w:r w:rsidRPr="00942517">
        <w:rPr>
          <w:rFonts w:eastAsia="Calibri"/>
          <w:sz w:val="22"/>
          <w:szCs w:val="22"/>
        </w:rPr>
        <w:t xml:space="preserve">.  </w:t>
      </w:r>
      <w:r w:rsidR="00967FAA" w:rsidRPr="00942517">
        <w:rPr>
          <w:rFonts w:eastAsia="Calibri"/>
          <w:sz w:val="22"/>
          <w:szCs w:val="22"/>
        </w:rPr>
        <w:t>NGS/SJRPP</w:t>
      </w:r>
      <w:r w:rsidR="00FC3D22" w:rsidRPr="00942517">
        <w:rPr>
          <w:rFonts w:eastAsia="Calibri"/>
          <w:sz w:val="22"/>
          <w:szCs w:val="22"/>
        </w:rPr>
        <w:t xml:space="preserve"> </w:t>
      </w:r>
      <w:r w:rsidRPr="00942517">
        <w:rPr>
          <w:rFonts w:eastAsia="Calibri"/>
          <w:sz w:val="22"/>
          <w:szCs w:val="22"/>
        </w:rPr>
        <w:t xml:space="preserve">is a major stationary source based on actual emissions of and potential to emit 100 tons/year or more of several individual PSD pollutants.  </w:t>
      </w:r>
    </w:p>
    <w:p w:rsidR="00A707D8" w:rsidRDefault="00A707D8" w:rsidP="00A707D8">
      <w:pPr>
        <w:spacing w:after="120"/>
        <w:rPr>
          <w:rFonts w:eastAsia="Calibri"/>
          <w:sz w:val="22"/>
          <w:szCs w:val="22"/>
        </w:rPr>
      </w:pPr>
      <w:r>
        <w:rPr>
          <w:rFonts w:eastAsia="Calibri"/>
          <w:sz w:val="22"/>
          <w:szCs w:val="22"/>
        </w:rPr>
        <w:t xml:space="preserve">If </w:t>
      </w:r>
      <w:r w:rsidR="002146EA">
        <w:rPr>
          <w:rFonts w:eastAsia="Calibri"/>
          <w:sz w:val="22"/>
          <w:szCs w:val="22"/>
        </w:rPr>
        <w:t>e</w:t>
      </w:r>
      <w:r>
        <w:rPr>
          <w:rFonts w:eastAsia="Calibri"/>
          <w:sz w:val="22"/>
          <w:szCs w:val="22"/>
        </w:rPr>
        <w:t xml:space="preserve">missions </w:t>
      </w:r>
      <w:r w:rsidR="002146EA">
        <w:rPr>
          <w:rFonts w:eastAsia="Calibri"/>
          <w:sz w:val="22"/>
          <w:szCs w:val="22"/>
        </w:rPr>
        <w:t xml:space="preserve">of GHGs </w:t>
      </w:r>
      <w:r>
        <w:rPr>
          <w:rFonts w:eastAsia="Calibri"/>
          <w:sz w:val="22"/>
          <w:szCs w:val="22"/>
        </w:rPr>
        <w:t>expressed as CO</w:t>
      </w:r>
      <w:r w:rsidRPr="0025034A">
        <w:rPr>
          <w:rFonts w:eastAsia="Calibri"/>
          <w:sz w:val="22"/>
          <w:szCs w:val="22"/>
          <w:vertAlign w:val="subscript"/>
        </w:rPr>
        <w:t>2</w:t>
      </w:r>
      <w:r>
        <w:rPr>
          <w:rFonts w:eastAsia="Calibri"/>
          <w:sz w:val="22"/>
          <w:szCs w:val="22"/>
        </w:rPr>
        <w:t>e emissions are greater than 100,000 tons/year, then the total (unweighted) GHG</w:t>
      </w:r>
      <w:r w:rsidR="002146EA">
        <w:rPr>
          <w:rFonts w:eastAsia="Calibri"/>
          <w:sz w:val="22"/>
          <w:szCs w:val="22"/>
        </w:rPr>
        <w:t>s</w:t>
      </w:r>
      <w:r>
        <w:rPr>
          <w:rFonts w:eastAsia="Calibri"/>
          <w:sz w:val="22"/>
          <w:szCs w:val="22"/>
        </w:rPr>
        <w:t xml:space="preserve"> mass emissions are compared with the 100 and 250 tons/year thresholds to determine whether the source is a major stationary source.</w:t>
      </w:r>
      <w:r>
        <w:rPr>
          <w:rStyle w:val="FootnoteReference"/>
          <w:rFonts w:eastAsia="Calibri"/>
          <w:sz w:val="22"/>
          <w:szCs w:val="22"/>
        </w:rPr>
        <w:footnoteReference w:id="2"/>
      </w:r>
    </w:p>
    <w:p w:rsidR="00A707D8" w:rsidRDefault="00A707D8" w:rsidP="00A707D8">
      <w:pPr>
        <w:spacing w:after="120"/>
        <w:rPr>
          <w:rFonts w:eastAsia="Calibri"/>
          <w:sz w:val="22"/>
          <w:szCs w:val="22"/>
        </w:rPr>
      </w:pPr>
      <w:r w:rsidRPr="007901D6">
        <w:rPr>
          <w:rFonts w:eastAsia="Calibri"/>
          <w:sz w:val="22"/>
          <w:szCs w:val="22"/>
        </w:rPr>
        <w:lastRenderedPageBreak/>
        <w:t>Once a new facility is considered a major stationary source based on one PSD pollutant, then other PSD pollutants are reviewed for PSD applicability based on the respective Significant Emission Rate (SER) defined and specified in Rule 62-210.200, F.A.C.  Each pollutant projected to be emitted at a rate equal to or greater than its respective SER is also considered to be “</w:t>
      </w:r>
      <w:r w:rsidRPr="007901D6">
        <w:rPr>
          <w:rFonts w:eastAsia="Calibri"/>
          <w:i/>
          <w:sz w:val="22"/>
          <w:szCs w:val="22"/>
        </w:rPr>
        <w:t>significant</w:t>
      </w:r>
      <w:r w:rsidRPr="007901D6">
        <w:rPr>
          <w:rFonts w:eastAsia="Calibri"/>
          <w:sz w:val="22"/>
          <w:szCs w:val="22"/>
        </w:rPr>
        <w:t xml:space="preserve">” and subject to PSD preconstruction review, including a BACT determination.  </w:t>
      </w:r>
    </w:p>
    <w:p w:rsidR="00A707D8" w:rsidRPr="007901D6" w:rsidRDefault="00060D5C" w:rsidP="00A707D8">
      <w:pPr>
        <w:widowControl w:val="0"/>
        <w:spacing w:after="120"/>
        <w:rPr>
          <w:rFonts w:eastAsia="Calibri"/>
          <w:sz w:val="22"/>
          <w:szCs w:val="22"/>
        </w:rPr>
      </w:pPr>
      <w:r>
        <w:rPr>
          <w:rFonts w:eastAsia="Calibri"/>
          <w:sz w:val="22"/>
          <w:szCs w:val="22"/>
        </w:rPr>
        <w:t>R</w:t>
      </w:r>
      <w:r w:rsidR="00A707D8">
        <w:rPr>
          <w:rFonts w:eastAsia="Calibri"/>
          <w:sz w:val="22"/>
          <w:szCs w:val="22"/>
        </w:rPr>
        <w:t>efer to</w:t>
      </w:r>
      <w:r w:rsidR="00FE3168">
        <w:rPr>
          <w:rFonts w:eastAsia="Calibri"/>
          <w:sz w:val="22"/>
          <w:szCs w:val="22"/>
        </w:rPr>
        <w:t xml:space="preserve"> </w:t>
      </w:r>
      <w:r w:rsidR="00FE3168" w:rsidRPr="00FE3168">
        <w:rPr>
          <w:rFonts w:eastAsia="Calibri"/>
          <w:b/>
          <w:sz w:val="22"/>
          <w:szCs w:val="22"/>
        </w:rPr>
        <w:fldChar w:fldCharType="begin"/>
      </w:r>
      <w:r w:rsidR="00FE3168" w:rsidRPr="00FE3168">
        <w:rPr>
          <w:rFonts w:eastAsia="Calibri"/>
          <w:b/>
          <w:sz w:val="22"/>
          <w:szCs w:val="22"/>
        </w:rPr>
        <w:instrText xml:space="preserve"> REF _Ref403725366 \h </w:instrText>
      </w:r>
      <w:r w:rsidR="00FE3168" w:rsidRPr="00FE3168">
        <w:rPr>
          <w:rFonts w:eastAsia="Calibri"/>
          <w:b/>
          <w:sz w:val="22"/>
          <w:szCs w:val="22"/>
        </w:rPr>
      </w:r>
      <w:r w:rsidR="00FE3168" w:rsidRPr="00FE3168">
        <w:rPr>
          <w:rFonts w:eastAsia="Calibri"/>
          <w:b/>
          <w:sz w:val="22"/>
          <w:szCs w:val="22"/>
        </w:rPr>
        <w:instrText xml:space="preserve"> \* MERGEFORMAT </w:instrText>
      </w:r>
      <w:r w:rsidR="00FE3168" w:rsidRPr="00FE3168">
        <w:rPr>
          <w:rFonts w:eastAsia="Calibri"/>
          <w:b/>
          <w:sz w:val="22"/>
          <w:szCs w:val="22"/>
        </w:rPr>
        <w:fldChar w:fldCharType="separate"/>
      </w:r>
      <w:r w:rsidR="00FE3168" w:rsidRPr="00FE3168">
        <w:rPr>
          <w:b/>
          <w:sz w:val="22"/>
          <w:szCs w:val="22"/>
        </w:rPr>
        <w:t xml:space="preserve">Table </w:t>
      </w:r>
      <w:r w:rsidR="00FE3168" w:rsidRPr="00FE3168">
        <w:rPr>
          <w:b/>
          <w:noProof/>
          <w:sz w:val="22"/>
          <w:szCs w:val="22"/>
        </w:rPr>
        <w:t>1</w:t>
      </w:r>
      <w:r w:rsidR="00FE3168" w:rsidRPr="00FE3168">
        <w:rPr>
          <w:rFonts w:eastAsia="Calibri"/>
          <w:b/>
          <w:sz w:val="22"/>
          <w:szCs w:val="22"/>
        </w:rPr>
        <w:fldChar w:fldCharType="end"/>
      </w:r>
      <w:r w:rsidR="00A707D8">
        <w:rPr>
          <w:rFonts w:eastAsia="Calibri"/>
          <w:sz w:val="22"/>
          <w:szCs w:val="22"/>
        </w:rPr>
        <w:t xml:space="preserve">.  </w:t>
      </w:r>
      <w:r w:rsidR="00A707D8" w:rsidRPr="007901D6">
        <w:rPr>
          <w:rFonts w:eastAsia="Calibri"/>
          <w:sz w:val="22"/>
          <w:szCs w:val="22"/>
        </w:rPr>
        <w:t xml:space="preserve">Although a new stationary source may be “major” for </w:t>
      </w:r>
      <w:r w:rsidR="00A707D8">
        <w:rPr>
          <w:rFonts w:eastAsia="Calibri"/>
          <w:sz w:val="22"/>
          <w:szCs w:val="22"/>
        </w:rPr>
        <w:t xml:space="preserve">a single </w:t>
      </w:r>
      <w:r w:rsidR="00A707D8" w:rsidRPr="007901D6">
        <w:rPr>
          <w:rFonts w:eastAsia="Calibri"/>
          <w:sz w:val="22"/>
          <w:szCs w:val="22"/>
        </w:rPr>
        <w:t xml:space="preserve">PSD pollutant, the project must include BACT controls for any PSD pollutant that exceeds the corresponding significant emission rates (SERs) </w:t>
      </w:r>
      <w:r w:rsidR="00A707D8">
        <w:rPr>
          <w:rFonts w:eastAsia="Calibri"/>
          <w:sz w:val="22"/>
          <w:szCs w:val="22"/>
        </w:rPr>
        <w:t>listed in the table below</w:t>
      </w:r>
      <w:r w:rsidR="00A707D8" w:rsidRPr="007901D6">
        <w:rPr>
          <w:rFonts w:eastAsia="Calibri"/>
          <w:sz w:val="22"/>
          <w:szCs w:val="22"/>
        </w:rPr>
        <w:t>.</w:t>
      </w:r>
      <w:r w:rsidR="00A707D8">
        <w:rPr>
          <w:rFonts w:eastAsia="Calibri"/>
          <w:sz w:val="22"/>
          <w:szCs w:val="22"/>
        </w:rPr>
        <w:t xml:space="preserve">  </w:t>
      </w:r>
    </w:p>
    <w:p w:rsidR="00A707D8" w:rsidRPr="00FE3168" w:rsidRDefault="00FE3168" w:rsidP="00FE3168">
      <w:pPr>
        <w:pStyle w:val="Caption"/>
        <w:spacing w:before="0"/>
        <w:jc w:val="center"/>
        <w:rPr>
          <w:rFonts w:ascii="Times New Roman Bold" w:hAnsi="Times New Roman Bold"/>
          <w:color w:val="000000"/>
          <w:szCs w:val="22"/>
        </w:rPr>
      </w:pPr>
      <w:bookmarkStart w:id="4" w:name="_Ref403725366"/>
      <w:r w:rsidRPr="00FE3168">
        <w:rPr>
          <w:rFonts w:ascii="Times New Roman Bold" w:hAnsi="Times New Roman Bold"/>
        </w:rPr>
        <w:t xml:space="preserve">Table </w:t>
      </w:r>
      <w:r w:rsidRPr="00FE3168">
        <w:rPr>
          <w:rFonts w:ascii="Times New Roman Bold" w:hAnsi="Times New Roman Bold"/>
        </w:rPr>
        <w:fldChar w:fldCharType="begin"/>
      </w:r>
      <w:r w:rsidRPr="00FE3168">
        <w:rPr>
          <w:rFonts w:ascii="Times New Roman Bold" w:hAnsi="Times New Roman Bold"/>
        </w:rPr>
        <w:instrText xml:space="preserve"> SEQ Table \* ARABIC </w:instrText>
      </w:r>
      <w:r w:rsidRPr="00FE3168">
        <w:rPr>
          <w:rFonts w:ascii="Times New Roman Bold" w:hAnsi="Times New Roman Bold"/>
        </w:rPr>
        <w:fldChar w:fldCharType="separate"/>
      </w:r>
      <w:r w:rsidR="008A6179">
        <w:rPr>
          <w:rFonts w:ascii="Times New Roman Bold" w:hAnsi="Times New Roman Bold"/>
          <w:noProof/>
        </w:rPr>
        <w:t>1</w:t>
      </w:r>
      <w:r w:rsidRPr="00FE3168">
        <w:rPr>
          <w:rFonts w:ascii="Times New Roman Bold" w:hAnsi="Times New Roman Bold"/>
        </w:rPr>
        <w:fldChar w:fldCharType="end"/>
      </w:r>
      <w:bookmarkEnd w:id="4"/>
      <w:r w:rsidR="00A707D8" w:rsidRPr="00FE3168">
        <w:rPr>
          <w:rFonts w:ascii="Times New Roman Bold" w:hAnsi="Times New Roman Bold"/>
          <w:color w:val="000000"/>
          <w:szCs w:val="22"/>
        </w:rPr>
        <w:t xml:space="preserve">- List of Significant Emission Rates by PSD-Pollutant. </w:t>
      </w:r>
      <w:r w:rsidR="00A707D8" w:rsidRPr="00FE3168">
        <w:rPr>
          <w:rFonts w:ascii="Times New Roman Bold" w:hAnsi="Times New Roman Bold"/>
          <w:color w:val="000000"/>
          <w:szCs w:val="22"/>
          <w:vertAlign w:val="superscript"/>
        </w:rPr>
        <w:t>1</w:t>
      </w:r>
    </w:p>
    <w:tbl>
      <w:tblPr>
        <w:tblW w:w="9777"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757"/>
        <w:gridCol w:w="2160"/>
        <w:gridCol w:w="2790"/>
        <w:gridCol w:w="2070"/>
      </w:tblGrid>
      <w:tr w:rsidR="00861123" w:rsidRPr="005C0768" w:rsidTr="00861123">
        <w:trPr>
          <w:trHeight w:val="290"/>
          <w:tblHeader/>
        </w:trPr>
        <w:tc>
          <w:tcPr>
            <w:tcW w:w="2757" w:type="dxa"/>
            <w:shd w:val="clear" w:color="auto" w:fill="D5DCE4"/>
            <w:vAlign w:val="center"/>
            <w:hideMark/>
          </w:tcPr>
          <w:p w:rsidR="00A707D8" w:rsidRPr="00861123" w:rsidRDefault="00A707D8" w:rsidP="00E660CE">
            <w:pPr>
              <w:autoSpaceDE w:val="0"/>
              <w:autoSpaceDN w:val="0"/>
              <w:adjustRightInd w:val="0"/>
              <w:spacing w:before="20" w:after="20"/>
              <w:jc w:val="center"/>
              <w:rPr>
                <w:b/>
                <w:color w:val="000000"/>
              </w:rPr>
            </w:pPr>
            <w:r w:rsidRPr="00861123">
              <w:rPr>
                <w:b/>
                <w:color w:val="000000"/>
              </w:rPr>
              <w:t>Pollutant</w:t>
            </w:r>
          </w:p>
        </w:tc>
        <w:tc>
          <w:tcPr>
            <w:tcW w:w="2160" w:type="dxa"/>
            <w:shd w:val="clear" w:color="auto" w:fill="D5DCE4"/>
            <w:vAlign w:val="center"/>
            <w:hideMark/>
          </w:tcPr>
          <w:p w:rsidR="00A707D8" w:rsidRPr="00861123" w:rsidRDefault="00A707D8" w:rsidP="00E660CE">
            <w:pPr>
              <w:autoSpaceDE w:val="0"/>
              <w:autoSpaceDN w:val="0"/>
              <w:adjustRightInd w:val="0"/>
              <w:spacing w:before="20" w:after="20"/>
              <w:jc w:val="center"/>
              <w:rPr>
                <w:b/>
                <w:color w:val="000000"/>
              </w:rPr>
            </w:pPr>
            <w:r w:rsidRPr="00861123">
              <w:rPr>
                <w:b/>
                <w:color w:val="000000"/>
              </w:rPr>
              <w:t>SER (tons/year)</w:t>
            </w:r>
          </w:p>
        </w:tc>
        <w:tc>
          <w:tcPr>
            <w:tcW w:w="2790" w:type="dxa"/>
            <w:shd w:val="clear" w:color="auto" w:fill="D5DCE4"/>
            <w:vAlign w:val="center"/>
            <w:hideMark/>
          </w:tcPr>
          <w:p w:rsidR="00A707D8" w:rsidRPr="00861123" w:rsidRDefault="00A707D8" w:rsidP="00E660CE">
            <w:pPr>
              <w:autoSpaceDE w:val="0"/>
              <w:autoSpaceDN w:val="0"/>
              <w:adjustRightInd w:val="0"/>
              <w:spacing w:before="20" w:after="20"/>
              <w:jc w:val="center"/>
              <w:rPr>
                <w:b/>
                <w:color w:val="000000"/>
              </w:rPr>
            </w:pPr>
            <w:r w:rsidRPr="00861123">
              <w:rPr>
                <w:b/>
                <w:color w:val="000000"/>
              </w:rPr>
              <w:t>Pollutant</w:t>
            </w:r>
          </w:p>
        </w:tc>
        <w:tc>
          <w:tcPr>
            <w:tcW w:w="2070" w:type="dxa"/>
            <w:shd w:val="clear" w:color="auto" w:fill="D5DCE4"/>
            <w:vAlign w:val="center"/>
            <w:hideMark/>
          </w:tcPr>
          <w:p w:rsidR="00A707D8" w:rsidRPr="00861123" w:rsidRDefault="00A707D8" w:rsidP="00EF4AA2">
            <w:pPr>
              <w:autoSpaceDE w:val="0"/>
              <w:autoSpaceDN w:val="0"/>
              <w:adjustRightInd w:val="0"/>
              <w:spacing w:before="20" w:after="20"/>
              <w:jc w:val="center"/>
              <w:rPr>
                <w:b/>
                <w:color w:val="000000"/>
              </w:rPr>
            </w:pPr>
            <w:r w:rsidRPr="00861123">
              <w:rPr>
                <w:b/>
                <w:color w:val="000000"/>
              </w:rPr>
              <w:t>SER (tons/year)</w:t>
            </w:r>
            <w:r w:rsidR="00EF4AA2">
              <w:rPr>
                <w:b/>
                <w:color w:val="000000"/>
              </w:rPr>
              <w:t xml:space="preserve"> </w:t>
            </w:r>
            <w:r w:rsidR="00EF4AA2" w:rsidRPr="00EF4AA2">
              <w:rPr>
                <w:b/>
                <w:color w:val="000000"/>
                <w:vertAlign w:val="superscript"/>
              </w:rPr>
              <w:t>4</w:t>
            </w:r>
          </w:p>
        </w:tc>
      </w:tr>
      <w:tr w:rsidR="00A707D8" w:rsidRPr="005C0768" w:rsidTr="00861123">
        <w:trPr>
          <w:trHeight w:val="264"/>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CO</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100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NO</w:t>
            </w:r>
            <w:r w:rsidRPr="00861123">
              <w:rPr>
                <w:color w:val="000000"/>
                <w:vertAlign w:val="subscript"/>
              </w:rPr>
              <w:t>X</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r>
      <w:tr w:rsidR="00A707D8" w:rsidRPr="005C0768" w:rsidTr="00861123">
        <w:trPr>
          <w:trHeight w:val="264"/>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PM/PM</w:t>
            </w:r>
            <w:r w:rsidRPr="00861123">
              <w:rPr>
                <w:vertAlign w:val="subscript"/>
              </w:rPr>
              <w:t>10</w:t>
            </w:r>
            <w:r w:rsidRPr="00861123">
              <w:rPr>
                <w:color w:val="000000"/>
              </w:rPr>
              <w:t>/PM</w:t>
            </w:r>
            <w:r w:rsidRPr="00861123">
              <w:rPr>
                <w:color w:val="000000"/>
                <w:vertAlign w:val="subscript"/>
              </w:rPr>
              <w:t>2.5</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25/15/10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 xml:space="preserve">Ozone (VOC) </w:t>
            </w:r>
            <w:r w:rsidRPr="00861123">
              <w:rPr>
                <w:b/>
                <w:color w:val="000000"/>
                <w:vertAlign w:val="superscript"/>
              </w:rPr>
              <w:t>2</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r>
      <w:tr w:rsidR="00A707D8" w:rsidRPr="005C0768" w:rsidTr="00861123">
        <w:trPr>
          <w:trHeight w:val="264"/>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PM</w:t>
            </w:r>
            <w:r w:rsidRPr="00861123">
              <w:rPr>
                <w:color w:val="000000"/>
                <w:vertAlign w:val="subscript"/>
              </w:rPr>
              <w:t>2.5</w:t>
            </w:r>
            <w:r w:rsidRPr="00861123">
              <w:rPr>
                <w:color w:val="000000"/>
              </w:rPr>
              <w:t xml:space="preserve"> (NO</w:t>
            </w:r>
            <w:r w:rsidRPr="00861123">
              <w:rPr>
                <w:vertAlign w:val="subscript"/>
              </w:rPr>
              <w:t>X</w:t>
            </w:r>
            <w:r w:rsidRPr="00861123">
              <w:rPr>
                <w:color w:val="000000"/>
              </w:rPr>
              <w:t>)</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PM</w:t>
            </w:r>
            <w:r w:rsidRPr="00861123">
              <w:rPr>
                <w:color w:val="000000"/>
                <w:vertAlign w:val="subscript"/>
              </w:rPr>
              <w:t>2.5</w:t>
            </w:r>
            <w:r w:rsidRPr="00861123">
              <w:rPr>
                <w:color w:val="000000"/>
              </w:rPr>
              <w:t xml:space="preserve"> (SO</w:t>
            </w:r>
            <w:r w:rsidRPr="00861123">
              <w:rPr>
                <w:vertAlign w:val="subscript"/>
              </w:rPr>
              <w:t>2</w:t>
            </w:r>
            <w:r w:rsidRPr="00861123">
              <w:rPr>
                <w:color w:val="000000"/>
              </w:rPr>
              <w:t>)</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r>
      <w:tr w:rsidR="00A707D8" w:rsidRPr="005C0768" w:rsidTr="00861123">
        <w:trPr>
          <w:trHeight w:val="246"/>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Ozone (NO</w:t>
            </w:r>
            <w:r w:rsidRPr="00861123">
              <w:rPr>
                <w:vertAlign w:val="subscript"/>
              </w:rPr>
              <w:t>X</w:t>
            </w:r>
            <w:r w:rsidRPr="00861123">
              <w:rPr>
                <w:color w:val="000000"/>
              </w:rPr>
              <w:t xml:space="preserve">) </w:t>
            </w:r>
            <w:r w:rsidRPr="00861123">
              <w:rPr>
                <w:b/>
                <w:color w:val="000000"/>
                <w:vertAlign w:val="superscript"/>
              </w:rPr>
              <w:t>2</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SAM</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7</w:t>
            </w:r>
          </w:p>
        </w:tc>
      </w:tr>
      <w:tr w:rsidR="00A707D8" w:rsidRPr="005C0768" w:rsidTr="00861123">
        <w:trPr>
          <w:trHeight w:val="255"/>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SO</w:t>
            </w:r>
            <w:r w:rsidRPr="00861123">
              <w:rPr>
                <w:color w:val="000000"/>
                <w:vertAlign w:val="subscript"/>
              </w:rPr>
              <w:t>2</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40</w:t>
            </w:r>
          </w:p>
        </w:tc>
        <w:tc>
          <w:tcPr>
            <w:tcW w:w="2790"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Pb</w:t>
            </w:r>
          </w:p>
        </w:tc>
        <w:tc>
          <w:tcPr>
            <w:tcW w:w="207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0.6</w:t>
            </w:r>
          </w:p>
        </w:tc>
      </w:tr>
      <w:tr w:rsidR="00A707D8" w:rsidRPr="005C0768" w:rsidTr="00285FB2">
        <w:trPr>
          <w:trHeight w:val="255"/>
        </w:trPr>
        <w:tc>
          <w:tcPr>
            <w:tcW w:w="2757" w:type="dxa"/>
            <w:vAlign w:val="center"/>
            <w:hideMark/>
          </w:tcPr>
          <w:p w:rsidR="00A707D8" w:rsidRPr="00861123" w:rsidRDefault="00A707D8" w:rsidP="00285FB2">
            <w:pPr>
              <w:autoSpaceDE w:val="0"/>
              <w:autoSpaceDN w:val="0"/>
              <w:adjustRightInd w:val="0"/>
              <w:spacing w:before="20" w:after="20"/>
              <w:rPr>
                <w:color w:val="000000"/>
              </w:rPr>
            </w:pPr>
            <w:r w:rsidRPr="00861123">
              <w:rPr>
                <w:color w:val="000000"/>
              </w:rPr>
              <w:t>Hg</w:t>
            </w:r>
            <w:r w:rsidR="00A54E91">
              <w:rPr>
                <w:color w:val="000000"/>
              </w:rPr>
              <w:t xml:space="preserve"> </w:t>
            </w:r>
            <w:r w:rsidR="00242B7B" w:rsidRPr="00242B7B">
              <w:rPr>
                <w:color w:val="000000"/>
                <w:vertAlign w:val="superscript"/>
              </w:rPr>
              <w:t>5</w:t>
            </w:r>
          </w:p>
        </w:tc>
        <w:tc>
          <w:tcPr>
            <w:tcW w:w="2160" w:type="dxa"/>
            <w:shd w:val="clear" w:color="auto" w:fill="D9E2F3"/>
            <w:vAlign w:val="center"/>
            <w:hideMark/>
          </w:tcPr>
          <w:p w:rsidR="00A707D8" w:rsidRPr="00861123" w:rsidRDefault="00A707D8" w:rsidP="00E660CE">
            <w:pPr>
              <w:autoSpaceDE w:val="0"/>
              <w:autoSpaceDN w:val="0"/>
              <w:adjustRightInd w:val="0"/>
              <w:spacing w:before="20" w:after="20"/>
              <w:jc w:val="center"/>
              <w:rPr>
                <w:color w:val="000000"/>
              </w:rPr>
            </w:pPr>
            <w:r w:rsidRPr="00861123">
              <w:rPr>
                <w:color w:val="000000"/>
              </w:rPr>
              <w:t xml:space="preserve">0.1 </w:t>
            </w:r>
          </w:p>
        </w:tc>
        <w:tc>
          <w:tcPr>
            <w:tcW w:w="2790" w:type="dxa"/>
            <w:vAlign w:val="center"/>
          </w:tcPr>
          <w:p w:rsidR="00A707D8" w:rsidRPr="00861123" w:rsidRDefault="00285FB2" w:rsidP="00285FB2">
            <w:pPr>
              <w:autoSpaceDE w:val="0"/>
              <w:autoSpaceDN w:val="0"/>
              <w:adjustRightInd w:val="0"/>
              <w:spacing w:before="20" w:after="20"/>
              <w:rPr>
                <w:color w:val="000000"/>
              </w:rPr>
            </w:pPr>
            <w:r>
              <w:rPr>
                <w:color w:val="000000"/>
              </w:rPr>
              <w:t>Fluoride (F)</w:t>
            </w:r>
          </w:p>
        </w:tc>
        <w:tc>
          <w:tcPr>
            <w:tcW w:w="2070" w:type="dxa"/>
            <w:shd w:val="clear" w:color="auto" w:fill="D9E2F3"/>
            <w:vAlign w:val="center"/>
          </w:tcPr>
          <w:p w:rsidR="00A707D8" w:rsidRPr="00861123" w:rsidRDefault="00EF4AA2" w:rsidP="00E660CE">
            <w:pPr>
              <w:autoSpaceDE w:val="0"/>
              <w:autoSpaceDN w:val="0"/>
              <w:adjustRightInd w:val="0"/>
              <w:spacing w:before="20" w:after="20"/>
              <w:jc w:val="center"/>
              <w:rPr>
                <w:color w:val="000000"/>
                <w:vertAlign w:val="superscript"/>
              </w:rPr>
            </w:pPr>
            <w:r w:rsidRPr="00060D5C">
              <w:rPr>
                <w:color w:val="000000"/>
              </w:rPr>
              <w:t>3</w:t>
            </w:r>
          </w:p>
        </w:tc>
      </w:tr>
      <w:tr w:rsidR="00285FB2" w:rsidRPr="005C0768" w:rsidTr="00861123">
        <w:trPr>
          <w:trHeight w:val="255"/>
        </w:trPr>
        <w:tc>
          <w:tcPr>
            <w:tcW w:w="2757" w:type="dxa"/>
            <w:vAlign w:val="center"/>
          </w:tcPr>
          <w:p w:rsidR="00285FB2" w:rsidRPr="00861123" w:rsidRDefault="00285FB2" w:rsidP="00285FB2">
            <w:pPr>
              <w:autoSpaceDE w:val="0"/>
              <w:autoSpaceDN w:val="0"/>
              <w:adjustRightInd w:val="0"/>
              <w:spacing w:before="20" w:after="20"/>
              <w:rPr>
                <w:rFonts w:eastAsia="Calibri"/>
              </w:rPr>
            </w:pPr>
          </w:p>
        </w:tc>
        <w:tc>
          <w:tcPr>
            <w:tcW w:w="2160" w:type="dxa"/>
            <w:shd w:val="clear" w:color="auto" w:fill="D9E2F3"/>
            <w:vAlign w:val="center"/>
          </w:tcPr>
          <w:p w:rsidR="00285FB2" w:rsidRPr="00861123" w:rsidRDefault="00285FB2" w:rsidP="00285FB2">
            <w:pPr>
              <w:autoSpaceDE w:val="0"/>
              <w:autoSpaceDN w:val="0"/>
              <w:adjustRightInd w:val="0"/>
              <w:spacing w:before="20" w:after="20"/>
              <w:jc w:val="center"/>
              <w:rPr>
                <w:color w:val="000000"/>
              </w:rPr>
            </w:pPr>
          </w:p>
        </w:tc>
        <w:tc>
          <w:tcPr>
            <w:tcW w:w="2790" w:type="dxa"/>
            <w:vAlign w:val="center"/>
          </w:tcPr>
          <w:p w:rsidR="00285FB2" w:rsidRPr="00861123" w:rsidRDefault="00285FB2" w:rsidP="00285FB2">
            <w:pPr>
              <w:autoSpaceDE w:val="0"/>
              <w:autoSpaceDN w:val="0"/>
              <w:adjustRightInd w:val="0"/>
              <w:spacing w:before="20" w:after="20"/>
              <w:rPr>
                <w:color w:val="000000"/>
              </w:rPr>
            </w:pPr>
            <w:r w:rsidRPr="00861123">
              <w:rPr>
                <w:color w:val="000000"/>
              </w:rPr>
              <w:t>GHGs</w:t>
            </w:r>
            <w:r>
              <w:rPr>
                <w:color w:val="000000"/>
              </w:rPr>
              <w:t xml:space="preserve"> (total mass basis)</w:t>
            </w:r>
          </w:p>
        </w:tc>
        <w:tc>
          <w:tcPr>
            <w:tcW w:w="2070" w:type="dxa"/>
            <w:shd w:val="clear" w:color="auto" w:fill="D9E2F3"/>
            <w:vAlign w:val="center"/>
          </w:tcPr>
          <w:p w:rsidR="00285FB2" w:rsidRPr="00861123" w:rsidRDefault="00285FB2" w:rsidP="00285FB2">
            <w:pPr>
              <w:autoSpaceDE w:val="0"/>
              <w:autoSpaceDN w:val="0"/>
              <w:adjustRightInd w:val="0"/>
              <w:spacing w:before="20" w:after="20"/>
              <w:jc w:val="center"/>
              <w:rPr>
                <w:color w:val="000000"/>
                <w:vertAlign w:val="superscript"/>
              </w:rPr>
            </w:pPr>
            <w:r w:rsidRPr="00861123">
              <w:rPr>
                <w:color w:val="000000"/>
              </w:rPr>
              <w:t xml:space="preserve">0 </w:t>
            </w:r>
            <w:r w:rsidRPr="00861123">
              <w:rPr>
                <w:b/>
                <w:color w:val="000000"/>
                <w:vertAlign w:val="superscript"/>
              </w:rPr>
              <w:t>3</w:t>
            </w:r>
          </w:p>
        </w:tc>
      </w:tr>
      <w:tr w:rsidR="00A707D8" w:rsidRPr="005C0768" w:rsidTr="00861123">
        <w:trPr>
          <w:trHeight w:val="311"/>
        </w:trPr>
        <w:tc>
          <w:tcPr>
            <w:tcW w:w="9777" w:type="dxa"/>
            <w:gridSpan w:val="4"/>
            <w:hideMark/>
          </w:tcPr>
          <w:p w:rsidR="00A707D8" w:rsidRPr="00A707D8" w:rsidRDefault="00A707D8" w:rsidP="00A707D8">
            <w:pPr>
              <w:numPr>
                <w:ilvl w:val="0"/>
                <w:numId w:val="9"/>
              </w:numPr>
              <w:tabs>
                <w:tab w:val="clear" w:pos="1080"/>
                <w:tab w:val="num" w:pos="342"/>
              </w:tabs>
              <w:autoSpaceDE w:val="0"/>
              <w:autoSpaceDN w:val="0"/>
              <w:adjustRightInd w:val="0"/>
              <w:spacing w:before="20" w:after="20"/>
              <w:ind w:left="345" w:hanging="331"/>
              <w:rPr>
                <w:color w:val="000000"/>
                <w:sz w:val="18"/>
                <w:szCs w:val="18"/>
              </w:rPr>
            </w:pPr>
            <w:r w:rsidRPr="00A707D8">
              <w:rPr>
                <w:color w:val="000000"/>
                <w:sz w:val="18"/>
                <w:szCs w:val="18"/>
              </w:rPr>
              <w:t>Excluding pollutants specific to the Pulp and Paper industry and MSW landfills.</w:t>
            </w:r>
          </w:p>
          <w:p w:rsidR="00A707D8" w:rsidRPr="00A707D8" w:rsidRDefault="00A707D8" w:rsidP="00A707D8">
            <w:pPr>
              <w:numPr>
                <w:ilvl w:val="0"/>
                <w:numId w:val="9"/>
              </w:numPr>
              <w:tabs>
                <w:tab w:val="clear" w:pos="1080"/>
                <w:tab w:val="num" w:pos="342"/>
              </w:tabs>
              <w:autoSpaceDE w:val="0"/>
              <w:autoSpaceDN w:val="0"/>
              <w:adjustRightInd w:val="0"/>
              <w:spacing w:after="20"/>
              <w:ind w:left="342" w:hanging="328"/>
              <w:rPr>
                <w:color w:val="000000"/>
                <w:sz w:val="18"/>
                <w:szCs w:val="18"/>
              </w:rPr>
            </w:pPr>
            <w:r w:rsidRPr="00A707D8">
              <w:rPr>
                <w:color w:val="000000"/>
                <w:sz w:val="18"/>
                <w:szCs w:val="18"/>
              </w:rPr>
              <w:t>Ozone (O</w:t>
            </w:r>
            <w:r w:rsidRPr="00A707D8">
              <w:rPr>
                <w:color w:val="000000"/>
                <w:sz w:val="18"/>
                <w:szCs w:val="18"/>
                <w:vertAlign w:val="subscript"/>
              </w:rPr>
              <w:t>3</w:t>
            </w:r>
            <w:r w:rsidRPr="00A707D8">
              <w:rPr>
                <w:color w:val="000000"/>
                <w:sz w:val="18"/>
                <w:szCs w:val="18"/>
              </w:rPr>
              <w:t>) is regulated by its precursors (VOC and NO</w:t>
            </w:r>
            <w:r w:rsidRPr="00A707D8">
              <w:rPr>
                <w:color w:val="000000"/>
                <w:sz w:val="18"/>
                <w:szCs w:val="18"/>
                <w:vertAlign w:val="subscript"/>
              </w:rPr>
              <w:t>X</w:t>
            </w:r>
            <w:r w:rsidRPr="00A707D8">
              <w:rPr>
                <w:color w:val="000000"/>
                <w:sz w:val="18"/>
                <w:szCs w:val="18"/>
              </w:rPr>
              <w:t>).  PSD for PM</w:t>
            </w:r>
            <w:r w:rsidRPr="00A707D8">
              <w:rPr>
                <w:color w:val="000000"/>
                <w:sz w:val="18"/>
                <w:szCs w:val="18"/>
                <w:vertAlign w:val="subscript"/>
              </w:rPr>
              <w:t>2.5</w:t>
            </w:r>
            <w:r w:rsidRPr="00A707D8">
              <w:rPr>
                <w:color w:val="000000"/>
                <w:sz w:val="18"/>
                <w:szCs w:val="18"/>
              </w:rPr>
              <w:t xml:space="preserve"> can be triggered by its precursors (NO</w:t>
            </w:r>
            <w:r w:rsidRPr="00A707D8">
              <w:rPr>
                <w:color w:val="000000"/>
                <w:sz w:val="18"/>
                <w:szCs w:val="18"/>
                <w:vertAlign w:val="subscript"/>
              </w:rPr>
              <w:t>X</w:t>
            </w:r>
            <w:r w:rsidRPr="00A707D8">
              <w:rPr>
                <w:color w:val="000000"/>
                <w:sz w:val="18"/>
                <w:szCs w:val="18"/>
              </w:rPr>
              <w:t xml:space="preserve"> and SO</w:t>
            </w:r>
            <w:r w:rsidRPr="00A707D8">
              <w:rPr>
                <w:color w:val="000000"/>
                <w:sz w:val="18"/>
                <w:szCs w:val="18"/>
                <w:vertAlign w:val="subscript"/>
              </w:rPr>
              <w:t>2</w:t>
            </w:r>
            <w:r w:rsidRPr="00A707D8">
              <w:rPr>
                <w:color w:val="000000"/>
                <w:sz w:val="18"/>
                <w:szCs w:val="18"/>
              </w:rPr>
              <w:t>).</w:t>
            </w:r>
          </w:p>
          <w:p w:rsidR="00A707D8" w:rsidRPr="00A707D8" w:rsidRDefault="00A707D8" w:rsidP="00A707D8">
            <w:pPr>
              <w:numPr>
                <w:ilvl w:val="0"/>
                <w:numId w:val="9"/>
              </w:numPr>
              <w:tabs>
                <w:tab w:val="clear" w:pos="1080"/>
                <w:tab w:val="num" w:pos="342"/>
              </w:tabs>
              <w:autoSpaceDE w:val="0"/>
              <w:autoSpaceDN w:val="0"/>
              <w:adjustRightInd w:val="0"/>
              <w:spacing w:after="20"/>
              <w:ind w:left="345" w:hanging="331"/>
              <w:rPr>
                <w:color w:val="000000"/>
                <w:sz w:val="18"/>
                <w:szCs w:val="18"/>
              </w:rPr>
            </w:pPr>
            <w:r w:rsidRPr="00A707D8">
              <w:rPr>
                <w:color w:val="000000"/>
                <w:sz w:val="18"/>
                <w:szCs w:val="18"/>
              </w:rPr>
              <w:t>Pursuant to 40 CFR 52.21(b)(23)(ii), pollutants with no SER listed at 40 CFR 52.21(b)(23)(</w:t>
            </w:r>
            <w:proofErr w:type="spellStart"/>
            <w:r w:rsidRPr="00A707D8">
              <w:rPr>
                <w:color w:val="000000"/>
                <w:sz w:val="18"/>
                <w:szCs w:val="18"/>
              </w:rPr>
              <w:t>i</w:t>
            </w:r>
            <w:proofErr w:type="spellEnd"/>
            <w:r w:rsidRPr="00A707D8">
              <w:rPr>
                <w:color w:val="000000"/>
                <w:sz w:val="18"/>
                <w:szCs w:val="18"/>
              </w:rPr>
              <w:t>) have a SER of zero tons/year.</w:t>
            </w:r>
          </w:p>
          <w:p w:rsidR="00A707D8" w:rsidRPr="00242B7B" w:rsidRDefault="00A707D8" w:rsidP="00EF4AA2">
            <w:pPr>
              <w:numPr>
                <w:ilvl w:val="0"/>
                <w:numId w:val="9"/>
              </w:numPr>
              <w:tabs>
                <w:tab w:val="clear" w:pos="1080"/>
                <w:tab w:val="num" w:pos="342"/>
              </w:tabs>
              <w:autoSpaceDE w:val="0"/>
              <w:autoSpaceDN w:val="0"/>
              <w:adjustRightInd w:val="0"/>
              <w:spacing w:after="20"/>
              <w:ind w:left="345" w:hanging="331"/>
              <w:rPr>
                <w:color w:val="000000"/>
                <w:sz w:val="16"/>
                <w:szCs w:val="16"/>
              </w:rPr>
            </w:pPr>
            <w:r w:rsidRPr="00A707D8">
              <w:rPr>
                <w:color w:val="000000"/>
                <w:sz w:val="18"/>
                <w:szCs w:val="18"/>
              </w:rPr>
              <w:t>SER also means any emissions rate or any net emissions increase associated with a major stationary source or major modification which would construct within 10 k</w:t>
            </w:r>
            <w:r w:rsidR="00EF4AA2">
              <w:rPr>
                <w:color w:val="000000"/>
                <w:sz w:val="18"/>
                <w:szCs w:val="18"/>
              </w:rPr>
              <w:t xml:space="preserve">m </w:t>
            </w:r>
            <w:r w:rsidRPr="00A707D8">
              <w:rPr>
                <w:color w:val="000000"/>
                <w:sz w:val="18"/>
                <w:szCs w:val="18"/>
              </w:rPr>
              <w:t>of a Class I area and have an impact on such area equal to or greater than 1 μg/m</w:t>
            </w:r>
            <w:r w:rsidRPr="00A707D8">
              <w:rPr>
                <w:color w:val="000000"/>
                <w:sz w:val="18"/>
                <w:szCs w:val="18"/>
                <w:vertAlign w:val="superscript"/>
              </w:rPr>
              <w:t>3</w:t>
            </w:r>
            <w:r w:rsidRPr="00A707D8">
              <w:rPr>
                <w:color w:val="000000"/>
                <w:sz w:val="18"/>
                <w:szCs w:val="18"/>
              </w:rPr>
              <w:t>, 24-hour average.</w:t>
            </w:r>
          </w:p>
          <w:p w:rsidR="00242B7B" w:rsidRPr="00A54E91" w:rsidRDefault="00A54E91" w:rsidP="00242B7B">
            <w:pPr>
              <w:numPr>
                <w:ilvl w:val="0"/>
                <w:numId w:val="9"/>
              </w:numPr>
              <w:tabs>
                <w:tab w:val="clear" w:pos="1080"/>
                <w:tab w:val="num" w:pos="342"/>
              </w:tabs>
              <w:autoSpaceDE w:val="0"/>
              <w:autoSpaceDN w:val="0"/>
              <w:adjustRightInd w:val="0"/>
              <w:spacing w:after="20"/>
              <w:ind w:left="345" w:hanging="331"/>
              <w:rPr>
                <w:color w:val="000000"/>
                <w:sz w:val="18"/>
                <w:szCs w:val="18"/>
              </w:rPr>
            </w:pPr>
            <w:r w:rsidRPr="00A54E91">
              <w:rPr>
                <w:color w:val="000000"/>
                <w:sz w:val="18"/>
                <w:szCs w:val="18"/>
              </w:rPr>
              <w:t xml:space="preserve">While </w:t>
            </w:r>
            <w:r w:rsidR="00242B7B" w:rsidRPr="00A54E91">
              <w:rPr>
                <w:color w:val="000000"/>
                <w:sz w:val="18"/>
                <w:szCs w:val="18"/>
              </w:rPr>
              <w:t xml:space="preserve">federal PSD requirements do not include a SER for mercury, </w:t>
            </w:r>
            <w:r w:rsidR="00242B7B" w:rsidRPr="00A54E91">
              <w:rPr>
                <w:rFonts w:eastAsia="Calibri"/>
                <w:sz w:val="18"/>
                <w:szCs w:val="18"/>
              </w:rPr>
              <w:t>Rule 62-210.200(258</w:t>
            </w:r>
            <w:proofErr w:type="gramStart"/>
            <w:r w:rsidR="00242B7B" w:rsidRPr="00A54E91">
              <w:rPr>
                <w:rFonts w:eastAsia="Calibri"/>
                <w:sz w:val="18"/>
                <w:szCs w:val="18"/>
              </w:rPr>
              <w:t>)(</w:t>
            </w:r>
            <w:proofErr w:type="gramEnd"/>
            <w:r w:rsidR="00242B7B" w:rsidRPr="00A54E91">
              <w:rPr>
                <w:rFonts w:eastAsia="Calibri"/>
                <w:sz w:val="18"/>
                <w:szCs w:val="18"/>
              </w:rPr>
              <w:t>a)(2), F.A.C.</w:t>
            </w:r>
            <w:r w:rsidRPr="00A54E91">
              <w:rPr>
                <w:rFonts w:eastAsia="Calibri"/>
                <w:sz w:val="18"/>
                <w:szCs w:val="18"/>
              </w:rPr>
              <w:t>, establishes this mercury SER for Florida.</w:t>
            </w:r>
          </w:p>
        </w:tc>
      </w:tr>
    </w:tbl>
    <w:p w:rsidR="00861123" w:rsidRPr="00FE3168" w:rsidRDefault="00861123" w:rsidP="00FE3168">
      <w:pPr>
        <w:pStyle w:val="ListParagraph"/>
        <w:numPr>
          <w:ilvl w:val="1"/>
          <w:numId w:val="13"/>
        </w:numPr>
        <w:spacing w:before="120" w:after="120"/>
        <w:ind w:left="720" w:hanging="720"/>
        <w:contextualSpacing w:val="0"/>
        <w:rPr>
          <w:b/>
          <w:caps/>
          <w:sz w:val="22"/>
        </w:rPr>
      </w:pPr>
      <w:r w:rsidRPr="00861123">
        <w:rPr>
          <w:b/>
          <w:sz w:val="22"/>
          <w:szCs w:val="22"/>
        </w:rPr>
        <w:t>Definition of Major Modification</w:t>
      </w:r>
    </w:p>
    <w:p w:rsidR="00861123" w:rsidRPr="00B15411" w:rsidRDefault="00861123" w:rsidP="00861123">
      <w:pPr>
        <w:autoSpaceDE w:val="0"/>
        <w:autoSpaceDN w:val="0"/>
        <w:adjustRightInd w:val="0"/>
        <w:spacing w:after="60"/>
        <w:rPr>
          <w:sz w:val="22"/>
          <w:szCs w:val="22"/>
        </w:rPr>
      </w:pPr>
      <w:r>
        <w:rPr>
          <w:sz w:val="22"/>
          <w:szCs w:val="22"/>
        </w:rPr>
        <w:t xml:space="preserve">“Major modifications” at major stationary sources are also subject to PSD review.  </w:t>
      </w:r>
      <w:r w:rsidRPr="00B15411">
        <w:rPr>
          <w:sz w:val="22"/>
          <w:szCs w:val="22"/>
        </w:rPr>
        <w:t xml:space="preserve">According to Rule </w:t>
      </w:r>
      <w:r>
        <w:rPr>
          <w:sz w:val="22"/>
          <w:szCs w:val="22"/>
        </w:rPr>
        <w:br/>
      </w:r>
      <w:r w:rsidRPr="00B15411">
        <w:rPr>
          <w:sz w:val="22"/>
          <w:szCs w:val="22"/>
        </w:rPr>
        <w:t xml:space="preserve">62-210.200(Definitions), F.A.C., Major Modification (of a </w:t>
      </w:r>
      <w:r>
        <w:rPr>
          <w:sz w:val="22"/>
          <w:szCs w:val="22"/>
        </w:rPr>
        <w:t xml:space="preserve">Major </w:t>
      </w:r>
      <w:r w:rsidRPr="00B15411">
        <w:rPr>
          <w:sz w:val="22"/>
          <w:szCs w:val="22"/>
        </w:rPr>
        <w:t>Stationary Source) is defined as follows:</w:t>
      </w:r>
    </w:p>
    <w:p w:rsidR="00861123" w:rsidRPr="00F3241A" w:rsidRDefault="00861123" w:rsidP="00861123">
      <w:pPr>
        <w:pStyle w:val="ListParagraph"/>
        <w:numPr>
          <w:ilvl w:val="0"/>
          <w:numId w:val="10"/>
        </w:numPr>
        <w:tabs>
          <w:tab w:val="left" w:pos="761"/>
        </w:tabs>
        <w:kinsoku w:val="0"/>
        <w:overflowPunct w:val="0"/>
        <w:autoSpaceDE w:val="0"/>
        <w:autoSpaceDN w:val="0"/>
        <w:adjustRightInd w:val="0"/>
        <w:spacing w:after="60"/>
        <w:ind w:left="360" w:right="117"/>
        <w:contextualSpacing w:val="0"/>
        <w:rPr>
          <w:sz w:val="22"/>
          <w:szCs w:val="22"/>
        </w:rPr>
      </w:pPr>
      <w:r w:rsidRPr="00F3241A">
        <w:rPr>
          <w:sz w:val="22"/>
          <w:szCs w:val="22"/>
        </w:rPr>
        <w:t>Any</w:t>
      </w:r>
      <w:r w:rsidRPr="00F3241A">
        <w:rPr>
          <w:spacing w:val="1"/>
          <w:sz w:val="22"/>
          <w:szCs w:val="22"/>
        </w:rPr>
        <w:t xml:space="preserve"> </w:t>
      </w:r>
      <w:r w:rsidRPr="00F3241A">
        <w:rPr>
          <w:sz w:val="22"/>
          <w:szCs w:val="22"/>
        </w:rPr>
        <w:t>physical</w:t>
      </w:r>
      <w:r w:rsidRPr="00F3241A">
        <w:rPr>
          <w:spacing w:val="3"/>
          <w:sz w:val="22"/>
          <w:szCs w:val="22"/>
        </w:rPr>
        <w:t xml:space="preserve"> </w:t>
      </w:r>
      <w:r w:rsidRPr="00F3241A">
        <w:rPr>
          <w:spacing w:val="-1"/>
          <w:sz w:val="22"/>
          <w:szCs w:val="22"/>
        </w:rPr>
        <w:t>change</w:t>
      </w:r>
      <w:r w:rsidRPr="00F3241A">
        <w:rPr>
          <w:spacing w:val="6"/>
          <w:sz w:val="22"/>
          <w:szCs w:val="22"/>
        </w:rPr>
        <w:t xml:space="preserve"> </w:t>
      </w:r>
      <w:r w:rsidRPr="00F3241A">
        <w:rPr>
          <w:spacing w:val="-1"/>
          <w:sz w:val="22"/>
          <w:szCs w:val="22"/>
        </w:rPr>
        <w:t>in</w:t>
      </w:r>
      <w:r w:rsidRPr="00F3241A">
        <w:rPr>
          <w:spacing w:val="4"/>
          <w:sz w:val="22"/>
          <w:szCs w:val="22"/>
        </w:rPr>
        <w:t xml:space="preserve"> </w:t>
      </w:r>
      <w:r w:rsidRPr="00F3241A">
        <w:rPr>
          <w:sz w:val="22"/>
          <w:szCs w:val="22"/>
        </w:rPr>
        <w:t>or</w:t>
      </w:r>
      <w:r w:rsidRPr="00F3241A">
        <w:rPr>
          <w:spacing w:val="3"/>
          <w:sz w:val="22"/>
          <w:szCs w:val="22"/>
        </w:rPr>
        <w:t xml:space="preserve"> </w:t>
      </w:r>
      <w:r w:rsidRPr="00F3241A">
        <w:rPr>
          <w:spacing w:val="-1"/>
          <w:sz w:val="22"/>
          <w:szCs w:val="22"/>
        </w:rPr>
        <w:t>change</w:t>
      </w:r>
      <w:r w:rsidRPr="00F3241A">
        <w:rPr>
          <w:spacing w:val="6"/>
          <w:sz w:val="22"/>
          <w:szCs w:val="22"/>
        </w:rPr>
        <w:t xml:space="preserve"> </w:t>
      </w:r>
      <w:r w:rsidRPr="00F3241A">
        <w:rPr>
          <w:spacing w:val="1"/>
          <w:sz w:val="22"/>
          <w:szCs w:val="22"/>
        </w:rPr>
        <w:t>in</w:t>
      </w:r>
      <w:r w:rsidRPr="00F3241A">
        <w:rPr>
          <w:spacing w:val="2"/>
          <w:sz w:val="22"/>
          <w:szCs w:val="22"/>
        </w:rPr>
        <w:t xml:space="preserve"> </w:t>
      </w:r>
      <w:r w:rsidRPr="00F3241A">
        <w:rPr>
          <w:sz w:val="22"/>
          <w:szCs w:val="22"/>
        </w:rPr>
        <w:t>the</w:t>
      </w:r>
      <w:r w:rsidRPr="00F3241A">
        <w:rPr>
          <w:spacing w:val="5"/>
          <w:sz w:val="22"/>
          <w:szCs w:val="22"/>
        </w:rPr>
        <w:t xml:space="preserve"> </w:t>
      </w:r>
      <w:r w:rsidRPr="00F3241A">
        <w:rPr>
          <w:spacing w:val="-1"/>
          <w:sz w:val="22"/>
          <w:szCs w:val="22"/>
        </w:rPr>
        <w:t>method</w:t>
      </w:r>
      <w:r w:rsidRPr="00F3241A">
        <w:rPr>
          <w:spacing w:val="4"/>
          <w:sz w:val="22"/>
          <w:szCs w:val="22"/>
        </w:rPr>
        <w:t xml:space="preserve"> </w:t>
      </w:r>
      <w:r w:rsidRPr="00F3241A">
        <w:rPr>
          <w:sz w:val="22"/>
          <w:szCs w:val="22"/>
        </w:rPr>
        <w:t>of</w:t>
      </w:r>
      <w:r w:rsidRPr="00F3241A">
        <w:rPr>
          <w:spacing w:val="4"/>
          <w:sz w:val="22"/>
          <w:szCs w:val="22"/>
        </w:rPr>
        <w:t xml:space="preserve"> </w:t>
      </w:r>
      <w:r w:rsidRPr="00F3241A">
        <w:rPr>
          <w:sz w:val="22"/>
          <w:szCs w:val="22"/>
        </w:rPr>
        <w:t>operation</w:t>
      </w:r>
      <w:r w:rsidRPr="00F3241A">
        <w:rPr>
          <w:spacing w:val="2"/>
          <w:sz w:val="22"/>
          <w:szCs w:val="22"/>
        </w:rPr>
        <w:t xml:space="preserve"> </w:t>
      </w:r>
      <w:r w:rsidRPr="00F3241A">
        <w:rPr>
          <w:sz w:val="22"/>
          <w:szCs w:val="22"/>
        </w:rPr>
        <w:t>of</w:t>
      </w:r>
      <w:r w:rsidRPr="00F3241A">
        <w:rPr>
          <w:spacing w:val="4"/>
          <w:sz w:val="22"/>
          <w:szCs w:val="22"/>
        </w:rPr>
        <w:t xml:space="preserve"> </w:t>
      </w:r>
      <w:r w:rsidRPr="00F3241A">
        <w:rPr>
          <w:sz w:val="22"/>
          <w:szCs w:val="22"/>
        </w:rPr>
        <w:t>a</w:t>
      </w:r>
      <w:r w:rsidRPr="00F3241A">
        <w:rPr>
          <w:spacing w:val="5"/>
          <w:sz w:val="22"/>
          <w:szCs w:val="22"/>
        </w:rPr>
        <w:t xml:space="preserve"> </w:t>
      </w:r>
      <w:r w:rsidRPr="00F3241A">
        <w:rPr>
          <w:sz w:val="22"/>
          <w:szCs w:val="22"/>
        </w:rPr>
        <w:t>major</w:t>
      </w:r>
      <w:r w:rsidRPr="00F3241A">
        <w:rPr>
          <w:spacing w:val="4"/>
          <w:sz w:val="22"/>
          <w:szCs w:val="22"/>
        </w:rPr>
        <w:t xml:space="preserve"> </w:t>
      </w:r>
      <w:r w:rsidRPr="00F3241A">
        <w:rPr>
          <w:spacing w:val="-1"/>
          <w:sz w:val="22"/>
          <w:szCs w:val="22"/>
        </w:rPr>
        <w:t>stationary</w:t>
      </w:r>
      <w:r w:rsidRPr="00F3241A">
        <w:rPr>
          <w:spacing w:val="4"/>
          <w:sz w:val="22"/>
          <w:szCs w:val="22"/>
        </w:rPr>
        <w:t xml:space="preserve"> </w:t>
      </w:r>
      <w:r w:rsidRPr="00F3241A">
        <w:rPr>
          <w:spacing w:val="-1"/>
          <w:sz w:val="22"/>
          <w:szCs w:val="22"/>
        </w:rPr>
        <w:t>source</w:t>
      </w:r>
      <w:r w:rsidRPr="00F3241A">
        <w:rPr>
          <w:spacing w:val="2"/>
          <w:sz w:val="22"/>
          <w:szCs w:val="22"/>
        </w:rPr>
        <w:t xml:space="preserve"> </w:t>
      </w:r>
      <w:r w:rsidRPr="00F3241A">
        <w:rPr>
          <w:sz w:val="22"/>
          <w:szCs w:val="22"/>
        </w:rPr>
        <w:t>that</w:t>
      </w:r>
      <w:r w:rsidRPr="00F3241A">
        <w:rPr>
          <w:spacing w:val="5"/>
          <w:sz w:val="22"/>
          <w:szCs w:val="22"/>
        </w:rPr>
        <w:t xml:space="preserve"> </w:t>
      </w:r>
      <w:r w:rsidRPr="00F3241A">
        <w:rPr>
          <w:spacing w:val="-1"/>
          <w:sz w:val="22"/>
          <w:szCs w:val="22"/>
        </w:rPr>
        <w:t>would</w:t>
      </w:r>
      <w:r w:rsidRPr="00F3241A">
        <w:rPr>
          <w:spacing w:val="4"/>
          <w:sz w:val="22"/>
          <w:szCs w:val="22"/>
        </w:rPr>
        <w:t xml:space="preserve"> </w:t>
      </w:r>
      <w:r w:rsidRPr="00F3241A">
        <w:rPr>
          <w:spacing w:val="-1"/>
          <w:sz w:val="22"/>
          <w:szCs w:val="22"/>
        </w:rPr>
        <w:t>result in</w:t>
      </w:r>
      <w:r w:rsidRPr="00F3241A">
        <w:rPr>
          <w:spacing w:val="1"/>
          <w:sz w:val="22"/>
          <w:szCs w:val="22"/>
        </w:rPr>
        <w:t xml:space="preserve"> </w:t>
      </w:r>
      <w:r w:rsidRPr="00F3241A">
        <w:rPr>
          <w:sz w:val="22"/>
          <w:szCs w:val="22"/>
        </w:rPr>
        <w:t>a</w:t>
      </w:r>
      <w:r w:rsidRPr="00F3241A">
        <w:rPr>
          <w:spacing w:val="2"/>
          <w:sz w:val="22"/>
          <w:szCs w:val="22"/>
        </w:rPr>
        <w:t xml:space="preserve"> </w:t>
      </w:r>
      <w:r w:rsidRPr="00F3241A">
        <w:rPr>
          <w:spacing w:val="-1"/>
          <w:sz w:val="22"/>
          <w:szCs w:val="22"/>
        </w:rPr>
        <w:t>significant</w:t>
      </w:r>
      <w:r w:rsidRPr="00F3241A">
        <w:rPr>
          <w:spacing w:val="3"/>
          <w:sz w:val="22"/>
          <w:szCs w:val="22"/>
        </w:rPr>
        <w:t xml:space="preserve"> </w:t>
      </w:r>
      <w:r w:rsidRPr="00F3241A">
        <w:rPr>
          <w:spacing w:val="-1"/>
          <w:sz w:val="22"/>
          <w:szCs w:val="22"/>
        </w:rPr>
        <w:t>emissions</w:t>
      </w:r>
      <w:r w:rsidRPr="00F3241A">
        <w:rPr>
          <w:spacing w:val="1"/>
          <w:sz w:val="22"/>
          <w:szCs w:val="22"/>
        </w:rPr>
        <w:t xml:space="preserve"> </w:t>
      </w:r>
      <w:r w:rsidRPr="00F3241A">
        <w:rPr>
          <w:spacing w:val="-1"/>
          <w:sz w:val="22"/>
          <w:szCs w:val="22"/>
        </w:rPr>
        <w:t>increase</w:t>
      </w:r>
      <w:r w:rsidRPr="00F3241A">
        <w:rPr>
          <w:spacing w:val="2"/>
          <w:sz w:val="22"/>
          <w:szCs w:val="22"/>
        </w:rPr>
        <w:t xml:space="preserve"> </w:t>
      </w:r>
      <w:r w:rsidRPr="00F3241A">
        <w:rPr>
          <w:sz w:val="22"/>
          <w:szCs w:val="22"/>
        </w:rPr>
        <w:t>of</w:t>
      </w:r>
      <w:r w:rsidRPr="00F3241A">
        <w:rPr>
          <w:spacing w:val="2"/>
          <w:sz w:val="22"/>
          <w:szCs w:val="22"/>
        </w:rPr>
        <w:t xml:space="preserve"> </w:t>
      </w:r>
      <w:r w:rsidRPr="00F3241A">
        <w:rPr>
          <w:sz w:val="22"/>
          <w:szCs w:val="22"/>
        </w:rPr>
        <w:t>a</w:t>
      </w:r>
      <w:r w:rsidRPr="00F3241A">
        <w:rPr>
          <w:spacing w:val="2"/>
          <w:sz w:val="22"/>
          <w:szCs w:val="22"/>
        </w:rPr>
        <w:t xml:space="preserve"> </w:t>
      </w:r>
      <w:r w:rsidRPr="00F3241A">
        <w:rPr>
          <w:sz w:val="22"/>
          <w:szCs w:val="22"/>
        </w:rPr>
        <w:t>PSD</w:t>
      </w:r>
      <w:r w:rsidRPr="00F3241A">
        <w:rPr>
          <w:spacing w:val="3"/>
          <w:sz w:val="22"/>
          <w:szCs w:val="22"/>
        </w:rPr>
        <w:t xml:space="preserve"> </w:t>
      </w:r>
      <w:r w:rsidRPr="00F3241A">
        <w:rPr>
          <w:spacing w:val="-1"/>
          <w:sz w:val="22"/>
          <w:szCs w:val="22"/>
        </w:rPr>
        <w:t>pollutant</w:t>
      </w:r>
      <w:r w:rsidRPr="00F3241A">
        <w:rPr>
          <w:spacing w:val="2"/>
          <w:sz w:val="22"/>
          <w:szCs w:val="22"/>
        </w:rPr>
        <w:t xml:space="preserve"> </w:t>
      </w:r>
      <w:r w:rsidRPr="00F3241A">
        <w:rPr>
          <w:spacing w:val="-1"/>
          <w:sz w:val="22"/>
          <w:szCs w:val="22"/>
        </w:rPr>
        <w:t>and</w:t>
      </w:r>
      <w:r w:rsidRPr="00F3241A">
        <w:rPr>
          <w:spacing w:val="3"/>
          <w:sz w:val="22"/>
          <w:szCs w:val="22"/>
        </w:rPr>
        <w:t xml:space="preserve"> </w:t>
      </w:r>
      <w:r w:rsidRPr="00F3241A">
        <w:rPr>
          <w:sz w:val="22"/>
          <w:szCs w:val="22"/>
        </w:rPr>
        <w:t>a</w:t>
      </w:r>
      <w:r w:rsidRPr="00F3241A">
        <w:rPr>
          <w:spacing w:val="2"/>
          <w:sz w:val="22"/>
          <w:szCs w:val="22"/>
        </w:rPr>
        <w:t xml:space="preserve"> </w:t>
      </w:r>
      <w:r w:rsidRPr="00F3241A">
        <w:rPr>
          <w:spacing w:val="-1"/>
          <w:sz w:val="22"/>
          <w:szCs w:val="22"/>
        </w:rPr>
        <w:t>significant</w:t>
      </w:r>
      <w:r w:rsidRPr="00F3241A">
        <w:rPr>
          <w:spacing w:val="3"/>
          <w:sz w:val="22"/>
          <w:szCs w:val="22"/>
        </w:rPr>
        <w:t xml:space="preserve"> </w:t>
      </w:r>
      <w:r w:rsidRPr="00F3241A">
        <w:rPr>
          <w:spacing w:val="-1"/>
          <w:sz w:val="22"/>
          <w:szCs w:val="22"/>
        </w:rPr>
        <w:t>net</w:t>
      </w:r>
      <w:r w:rsidRPr="00F3241A">
        <w:rPr>
          <w:spacing w:val="2"/>
          <w:sz w:val="22"/>
          <w:szCs w:val="22"/>
        </w:rPr>
        <w:t xml:space="preserve"> </w:t>
      </w:r>
      <w:r w:rsidRPr="00F3241A">
        <w:rPr>
          <w:spacing w:val="-1"/>
          <w:sz w:val="22"/>
          <w:szCs w:val="22"/>
        </w:rPr>
        <w:t>emissions</w:t>
      </w:r>
      <w:r w:rsidRPr="00F3241A">
        <w:rPr>
          <w:spacing w:val="2"/>
          <w:sz w:val="22"/>
          <w:szCs w:val="22"/>
        </w:rPr>
        <w:t xml:space="preserve"> </w:t>
      </w:r>
      <w:r w:rsidRPr="00F3241A">
        <w:rPr>
          <w:sz w:val="22"/>
          <w:szCs w:val="22"/>
        </w:rPr>
        <w:t>increase</w:t>
      </w:r>
      <w:r w:rsidRPr="00F3241A">
        <w:rPr>
          <w:spacing w:val="2"/>
          <w:sz w:val="22"/>
          <w:szCs w:val="22"/>
        </w:rPr>
        <w:t xml:space="preserve"> </w:t>
      </w:r>
      <w:r w:rsidRPr="00F3241A">
        <w:rPr>
          <w:sz w:val="22"/>
          <w:szCs w:val="22"/>
        </w:rPr>
        <w:t>of</w:t>
      </w:r>
      <w:r w:rsidRPr="00F3241A">
        <w:rPr>
          <w:spacing w:val="1"/>
          <w:sz w:val="22"/>
          <w:szCs w:val="22"/>
        </w:rPr>
        <w:t xml:space="preserve"> </w:t>
      </w:r>
      <w:r w:rsidRPr="00F3241A">
        <w:rPr>
          <w:spacing w:val="-1"/>
          <w:sz w:val="22"/>
          <w:szCs w:val="22"/>
        </w:rPr>
        <w:t>that</w:t>
      </w:r>
      <w:r w:rsidRPr="00F3241A">
        <w:rPr>
          <w:spacing w:val="3"/>
          <w:sz w:val="22"/>
          <w:szCs w:val="22"/>
        </w:rPr>
        <w:t xml:space="preserve"> </w:t>
      </w:r>
      <w:r w:rsidRPr="00F3241A">
        <w:rPr>
          <w:spacing w:val="-1"/>
          <w:sz w:val="22"/>
          <w:szCs w:val="22"/>
        </w:rPr>
        <w:t>pollutant</w:t>
      </w:r>
      <w:r w:rsidRPr="00F3241A">
        <w:rPr>
          <w:spacing w:val="2"/>
          <w:sz w:val="22"/>
          <w:szCs w:val="22"/>
        </w:rPr>
        <w:t xml:space="preserve"> </w:t>
      </w:r>
      <w:r w:rsidRPr="00F3241A">
        <w:rPr>
          <w:sz w:val="22"/>
          <w:szCs w:val="22"/>
        </w:rPr>
        <w:t>from</w:t>
      </w:r>
      <w:r w:rsidR="00967FAA">
        <w:rPr>
          <w:spacing w:val="101"/>
          <w:w w:val="99"/>
          <w:sz w:val="22"/>
          <w:szCs w:val="22"/>
        </w:rPr>
        <w:t xml:space="preserve"> </w:t>
      </w:r>
      <w:r w:rsidRPr="00F3241A">
        <w:rPr>
          <w:spacing w:val="-1"/>
          <w:sz w:val="22"/>
          <w:szCs w:val="22"/>
        </w:rPr>
        <w:t>the</w:t>
      </w:r>
      <w:r w:rsidRPr="00F3241A">
        <w:rPr>
          <w:spacing w:val="-5"/>
          <w:sz w:val="22"/>
          <w:szCs w:val="22"/>
        </w:rPr>
        <w:t xml:space="preserve"> </w:t>
      </w:r>
      <w:r w:rsidRPr="00F3241A">
        <w:rPr>
          <w:spacing w:val="-1"/>
          <w:sz w:val="22"/>
          <w:szCs w:val="22"/>
        </w:rPr>
        <w:t>major</w:t>
      </w:r>
      <w:r w:rsidRPr="00F3241A">
        <w:rPr>
          <w:spacing w:val="-6"/>
          <w:sz w:val="22"/>
          <w:szCs w:val="22"/>
        </w:rPr>
        <w:t xml:space="preserve"> </w:t>
      </w:r>
      <w:r w:rsidRPr="00F3241A">
        <w:rPr>
          <w:spacing w:val="-1"/>
          <w:sz w:val="22"/>
          <w:szCs w:val="22"/>
        </w:rPr>
        <w:t>stationary</w:t>
      </w:r>
      <w:r w:rsidRPr="00F3241A">
        <w:rPr>
          <w:spacing w:val="-7"/>
          <w:sz w:val="22"/>
          <w:szCs w:val="22"/>
        </w:rPr>
        <w:t xml:space="preserve"> </w:t>
      </w:r>
      <w:r w:rsidRPr="00F3241A">
        <w:rPr>
          <w:spacing w:val="-1"/>
          <w:sz w:val="22"/>
          <w:szCs w:val="22"/>
        </w:rPr>
        <w:t>source.</w:t>
      </w:r>
      <w:r>
        <w:rPr>
          <w:spacing w:val="-1"/>
          <w:sz w:val="22"/>
          <w:szCs w:val="22"/>
        </w:rPr>
        <w:t xml:space="preserve">  (Refer to Table 1 above) </w:t>
      </w:r>
    </w:p>
    <w:p w:rsidR="00861123" w:rsidRPr="00B15411" w:rsidRDefault="00861123" w:rsidP="00861123">
      <w:pPr>
        <w:pStyle w:val="ListParagraph"/>
        <w:numPr>
          <w:ilvl w:val="0"/>
          <w:numId w:val="10"/>
        </w:numPr>
        <w:tabs>
          <w:tab w:val="left" w:pos="773"/>
        </w:tabs>
        <w:kinsoku w:val="0"/>
        <w:overflowPunct w:val="0"/>
        <w:autoSpaceDE w:val="0"/>
        <w:autoSpaceDN w:val="0"/>
        <w:adjustRightInd w:val="0"/>
        <w:spacing w:after="60"/>
        <w:ind w:left="360" w:right="121"/>
        <w:contextualSpacing w:val="0"/>
        <w:rPr>
          <w:sz w:val="22"/>
          <w:szCs w:val="22"/>
        </w:rPr>
      </w:pPr>
      <w:r w:rsidRPr="00B15411">
        <w:rPr>
          <w:spacing w:val="-1"/>
          <w:sz w:val="22"/>
          <w:szCs w:val="22"/>
        </w:rPr>
        <w:t>Any</w:t>
      </w:r>
      <w:r w:rsidRPr="00B15411">
        <w:rPr>
          <w:spacing w:val="2"/>
          <w:sz w:val="22"/>
          <w:szCs w:val="22"/>
        </w:rPr>
        <w:t xml:space="preserve"> </w:t>
      </w:r>
      <w:r w:rsidRPr="00B15411">
        <w:rPr>
          <w:spacing w:val="-1"/>
          <w:sz w:val="22"/>
          <w:szCs w:val="22"/>
        </w:rPr>
        <w:t>significant</w:t>
      </w:r>
      <w:r w:rsidRPr="00B15411">
        <w:rPr>
          <w:spacing w:val="4"/>
          <w:sz w:val="22"/>
          <w:szCs w:val="22"/>
        </w:rPr>
        <w:t xml:space="preserve"> </w:t>
      </w:r>
      <w:r w:rsidRPr="00B15411">
        <w:rPr>
          <w:spacing w:val="-1"/>
          <w:sz w:val="22"/>
          <w:szCs w:val="22"/>
        </w:rPr>
        <w:t>emissions</w:t>
      </w:r>
      <w:r w:rsidRPr="00B15411">
        <w:rPr>
          <w:spacing w:val="6"/>
          <w:sz w:val="22"/>
          <w:szCs w:val="22"/>
        </w:rPr>
        <w:t xml:space="preserve"> </w:t>
      </w:r>
      <w:r w:rsidRPr="00B15411">
        <w:rPr>
          <w:spacing w:val="-1"/>
          <w:sz w:val="22"/>
          <w:szCs w:val="22"/>
        </w:rPr>
        <w:t>increase</w:t>
      </w:r>
      <w:r w:rsidRPr="00B15411">
        <w:rPr>
          <w:spacing w:val="4"/>
          <w:sz w:val="22"/>
          <w:szCs w:val="22"/>
        </w:rPr>
        <w:t xml:space="preserve"> </w:t>
      </w:r>
      <w:r w:rsidRPr="00B15411">
        <w:rPr>
          <w:sz w:val="22"/>
          <w:szCs w:val="22"/>
        </w:rPr>
        <w:t>from</w:t>
      </w:r>
      <w:r w:rsidRPr="00B15411">
        <w:rPr>
          <w:spacing w:val="1"/>
          <w:sz w:val="22"/>
          <w:szCs w:val="22"/>
        </w:rPr>
        <w:t xml:space="preserve"> </w:t>
      </w:r>
      <w:r w:rsidRPr="00B15411">
        <w:rPr>
          <w:sz w:val="22"/>
          <w:szCs w:val="22"/>
        </w:rPr>
        <w:t>any</w:t>
      </w:r>
      <w:r w:rsidRPr="00B15411">
        <w:rPr>
          <w:spacing w:val="1"/>
          <w:sz w:val="22"/>
          <w:szCs w:val="22"/>
        </w:rPr>
        <w:t xml:space="preserve"> </w:t>
      </w:r>
      <w:r w:rsidRPr="00B15411">
        <w:rPr>
          <w:sz w:val="22"/>
          <w:szCs w:val="22"/>
        </w:rPr>
        <w:t>emissions</w:t>
      </w:r>
      <w:r w:rsidRPr="00B15411">
        <w:rPr>
          <w:spacing w:val="4"/>
          <w:sz w:val="22"/>
          <w:szCs w:val="22"/>
        </w:rPr>
        <w:t xml:space="preserve"> </w:t>
      </w:r>
      <w:r w:rsidRPr="00B15411">
        <w:rPr>
          <w:spacing w:val="-1"/>
          <w:sz w:val="22"/>
          <w:szCs w:val="22"/>
        </w:rPr>
        <w:t>units</w:t>
      </w:r>
      <w:r w:rsidRPr="00B15411">
        <w:rPr>
          <w:spacing w:val="4"/>
          <w:sz w:val="22"/>
          <w:szCs w:val="22"/>
        </w:rPr>
        <w:t xml:space="preserve"> </w:t>
      </w:r>
      <w:r w:rsidRPr="00B15411">
        <w:rPr>
          <w:sz w:val="22"/>
          <w:szCs w:val="22"/>
        </w:rPr>
        <w:t>or</w:t>
      </w:r>
      <w:r w:rsidRPr="00B15411">
        <w:rPr>
          <w:spacing w:val="3"/>
          <w:sz w:val="22"/>
          <w:szCs w:val="22"/>
        </w:rPr>
        <w:t xml:space="preserve"> </w:t>
      </w:r>
      <w:r w:rsidRPr="00B15411">
        <w:rPr>
          <w:spacing w:val="-1"/>
          <w:sz w:val="22"/>
          <w:szCs w:val="22"/>
        </w:rPr>
        <w:t>net</w:t>
      </w:r>
      <w:r w:rsidRPr="00B15411">
        <w:rPr>
          <w:spacing w:val="3"/>
          <w:sz w:val="22"/>
          <w:szCs w:val="22"/>
        </w:rPr>
        <w:t xml:space="preserve"> </w:t>
      </w:r>
      <w:r w:rsidRPr="00B15411">
        <w:rPr>
          <w:spacing w:val="-1"/>
          <w:sz w:val="22"/>
          <w:szCs w:val="22"/>
        </w:rPr>
        <w:t>emissions</w:t>
      </w:r>
      <w:r w:rsidRPr="00B15411">
        <w:rPr>
          <w:spacing w:val="4"/>
          <w:sz w:val="22"/>
          <w:szCs w:val="22"/>
        </w:rPr>
        <w:t xml:space="preserve"> </w:t>
      </w:r>
      <w:r w:rsidRPr="00B15411">
        <w:rPr>
          <w:spacing w:val="-1"/>
          <w:sz w:val="22"/>
          <w:szCs w:val="22"/>
        </w:rPr>
        <w:t>increase</w:t>
      </w:r>
      <w:r w:rsidRPr="00B15411">
        <w:rPr>
          <w:spacing w:val="5"/>
          <w:sz w:val="22"/>
          <w:szCs w:val="22"/>
        </w:rPr>
        <w:t xml:space="preserve"> </w:t>
      </w:r>
      <w:r w:rsidRPr="00B15411">
        <w:rPr>
          <w:sz w:val="22"/>
          <w:szCs w:val="22"/>
        </w:rPr>
        <w:t>at</w:t>
      </w:r>
      <w:r w:rsidRPr="00B15411">
        <w:rPr>
          <w:spacing w:val="2"/>
          <w:sz w:val="22"/>
          <w:szCs w:val="22"/>
        </w:rPr>
        <w:t xml:space="preserve"> </w:t>
      </w:r>
      <w:r w:rsidRPr="00B15411">
        <w:rPr>
          <w:sz w:val="22"/>
          <w:szCs w:val="22"/>
        </w:rPr>
        <w:t>a</w:t>
      </w:r>
      <w:r w:rsidRPr="00B15411">
        <w:rPr>
          <w:spacing w:val="4"/>
          <w:sz w:val="22"/>
          <w:szCs w:val="22"/>
        </w:rPr>
        <w:t xml:space="preserve"> </w:t>
      </w:r>
      <w:r w:rsidRPr="00B15411">
        <w:rPr>
          <w:sz w:val="22"/>
          <w:szCs w:val="22"/>
        </w:rPr>
        <w:t>major</w:t>
      </w:r>
      <w:r w:rsidRPr="00B15411">
        <w:rPr>
          <w:spacing w:val="3"/>
          <w:sz w:val="22"/>
          <w:szCs w:val="22"/>
        </w:rPr>
        <w:t xml:space="preserve"> </w:t>
      </w:r>
      <w:r w:rsidRPr="00B15411">
        <w:rPr>
          <w:spacing w:val="-1"/>
          <w:sz w:val="22"/>
          <w:szCs w:val="22"/>
        </w:rPr>
        <w:t>stationary</w:t>
      </w:r>
      <w:r w:rsidRPr="00B15411">
        <w:rPr>
          <w:spacing w:val="93"/>
          <w:w w:val="99"/>
          <w:sz w:val="22"/>
          <w:szCs w:val="22"/>
        </w:rPr>
        <w:t xml:space="preserve"> </w:t>
      </w:r>
      <w:r w:rsidRPr="00B15411">
        <w:rPr>
          <w:spacing w:val="-1"/>
          <w:sz w:val="22"/>
          <w:szCs w:val="22"/>
        </w:rPr>
        <w:t>source</w:t>
      </w:r>
      <w:r w:rsidRPr="00B15411">
        <w:rPr>
          <w:spacing w:val="-6"/>
          <w:sz w:val="22"/>
          <w:szCs w:val="22"/>
        </w:rPr>
        <w:t xml:space="preserve"> </w:t>
      </w:r>
      <w:r w:rsidRPr="00B15411">
        <w:rPr>
          <w:spacing w:val="-1"/>
          <w:sz w:val="22"/>
          <w:szCs w:val="22"/>
        </w:rPr>
        <w:t>that</w:t>
      </w:r>
      <w:r w:rsidRPr="00B15411">
        <w:rPr>
          <w:spacing w:val="-5"/>
          <w:sz w:val="22"/>
          <w:szCs w:val="22"/>
        </w:rPr>
        <w:t xml:space="preserve"> </w:t>
      </w:r>
      <w:r w:rsidRPr="00B15411">
        <w:rPr>
          <w:spacing w:val="1"/>
          <w:sz w:val="22"/>
          <w:szCs w:val="22"/>
        </w:rPr>
        <w:t>is</w:t>
      </w:r>
      <w:r w:rsidRPr="00B15411">
        <w:rPr>
          <w:spacing w:val="-6"/>
          <w:sz w:val="22"/>
          <w:szCs w:val="22"/>
        </w:rPr>
        <w:t xml:space="preserve"> </w:t>
      </w:r>
      <w:r w:rsidRPr="00B15411">
        <w:rPr>
          <w:spacing w:val="-1"/>
          <w:sz w:val="22"/>
          <w:szCs w:val="22"/>
        </w:rPr>
        <w:t>significant</w:t>
      </w:r>
      <w:r w:rsidRPr="00B15411">
        <w:rPr>
          <w:spacing w:val="-4"/>
          <w:sz w:val="22"/>
          <w:szCs w:val="22"/>
        </w:rPr>
        <w:t xml:space="preserve"> </w:t>
      </w:r>
      <w:r w:rsidRPr="00B15411">
        <w:rPr>
          <w:spacing w:val="-1"/>
          <w:sz w:val="22"/>
          <w:szCs w:val="22"/>
        </w:rPr>
        <w:t>for</w:t>
      </w:r>
      <w:r w:rsidRPr="00B15411">
        <w:rPr>
          <w:spacing w:val="-4"/>
          <w:sz w:val="22"/>
          <w:szCs w:val="22"/>
        </w:rPr>
        <w:t xml:space="preserve"> </w:t>
      </w:r>
      <w:r w:rsidRPr="00B15411">
        <w:rPr>
          <w:spacing w:val="-1"/>
          <w:sz w:val="22"/>
          <w:szCs w:val="22"/>
        </w:rPr>
        <w:t>volatile</w:t>
      </w:r>
      <w:r w:rsidRPr="00B15411">
        <w:rPr>
          <w:spacing w:val="-6"/>
          <w:sz w:val="22"/>
          <w:szCs w:val="22"/>
        </w:rPr>
        <w:t xml:space="preserve"> </w:t>
      </w:r>
      <w:r w:rsidRPr="00B15411">
        <w:rPr>
          <w:spacing w:val="-1"/>
          <w:sz w:val="22"/>
          <w:szCs w:val="22"/>
        </w:rPr>
        <w:t>organic</w:t>
      </w:r>
      <w:r w:rsidRPr="00B15411">
        <w:rPr>
          <w:spacing w:val="-5"/>
          <w:sz w:val="22"/>
          <w:szCs w:val="22"/>
        </w:rPr>
        <w:t xml:space="preserve"> </w:t>
      </w:r>
      <w:r w:rsidRPr="00B15411">
        <w:rPr>
          <w:sz w:val="22"/>
          <w:szCs w:val="22"/>
        </w:rPr>
        <w:t>compounds</w:t>
      </w:r>
      <w:r w:rsidRPr="00B15411">
        <w:rPr>
          <w:spacing w:val="-6"/>
          <w:sz w:val="22"/>
          <w:szCs w:val="22"/>
        </w:rPr>
        <w:t xml:space="preserve"> </w:t>
      </w:r>
      <w:r w:rsidRPr="00B15411">
        <w:rPr>
          <w:sz w:val="22"/>
          <w:szCs w:val="22"/>
        </w:rPr>
        <w:t>or</w:t>
      </w:r>
      <w:r w:rsidRPr="00B15411">
        <w:rPr>
          <w:spacing w:val="-5"/>
          <w:sz w:val="22"/>
          <w:szCs w:val="22"/>
        </w:rPr>
        <w:t xml:space="preserve"> </w:t>
      </w:r>
      <w:r w:rsidRPr="00B15411">
        <w:rPr>
          <w:spacing w:val="-1"/>
          <w:sz w:val="22"/>
          <w:szCs w:val="22"/>
        </w:rPr>
        <w:t>nitrogen</w:t>
      </w:r>
      <w:r w:rsidRPr="00B15411">
        <w:rPr>
          <w:spacing w:val="-6"/>
          <w:sz w:val="22"/>
          <w:szCs w:val="22"/>
        </w:rPr>
        <w:t xml:space="preserve"> </w:t>
      </w:r>
      <w:r w:rsidRPr="00B15411">
        <w:rPr>
          <w:spacing w:val="-1"/>
          <w:sz w:val="22"/>
          <w:szCs w:val="22"/>
        </w:rPr>
        <w:t>oxides</w:t>
      </w:r>
      <w:r w:rsidRPr="00B15411">
        <w:rPr>
          <w:spacing w:val="-6"/>
          <w:sz w:val="22"/>
          <w:szCs w:val="22"/>
        </w:rPr>
        <w:t xml:space="preserve"> </w:t>
      </w:r>
      <w:r w:rsidRPr="00B15411">
        <w:rPr>
          <w:spacing w:val="-1"/>
          <w:sz w:val="22"/>
          <w:szCs w:val="22"/>
        </w:rPr>
        <w:t>shall</w:t>
      </w:r>
      <w:r w:rsidRPr="00B15411">
        <w:rPr>
          <w:spacing w:val="-5"/>
          <w:sz w:val="22"/>
          <w:szCs w:val="22"/>
        </w:rPr>
        <w:t xml:space="preserve"> </w:t>
      </w:r>
      <w:r w:rsidRPr="00B15411">
        <w:rPr>
          <w:sz w:val="22"/>
          <w:szCs w:val="22"/>
        </w:rPr>
        <w:t>be</w:t>
      </w:r>
      <w:r w:rsidRPr="00B15411">
        <w:rPr>
          <w:spacing w:val="-6"/>
          <w:sz w:val="22"/>
          <w:szCs w:val="22"/>
        </w:rPr>
        <w:t xml:space="preserve"> </w:t>
      </w:r>
      <w:r w:rsidRPr="00B15411">
        <w:rPr>
          <w:sz w:val="22"/>
          <w:szCs w:val="22"/>
        </w:rPr>
        <w:t>considered</w:t>
      </w:r>
      <w:r w:rsidRPr="00B15411">
        <w:rPr>
          <w:spacing w:val="-4"/>
          <w:sz w:val="22"/>
          <w:szCs w:val="22"/>
        </w:rPr>
        <w:t xml:space="preserve"> </w:t>
      </w:r>
      <w:r w:rsidRPr="00B15411">
        <w:rPr>
          <w:spacing w:val="-1"/>
          <w:sz w:val="22"/>
          <w:szCs w:val="22"/>
        </w:rPr>
        <w:t>significant</w:t>
      </w:r>
      <w:r w:rsidRPr="00B15411">
        <w:rPr>
          <w:spacing w:val="-6"/>
          <w:sz w:val="22"/>
          <w:szCs w:val="22"/>
        </w:rPr>
        <w:t xml:space="preserve"> </w:t>
      </w:r>
      <w:r w:rsidRPr="00B15411">
        <w:rPr>
          <w:spacing w:val="-1"/>
          <w:sz w:val="22"/>
          <w:szCs w:val="22"/>
        </w:rPr>
        <w:t>for</w:t>
      </w:r>
      <w:r w:rsidRPr="00B15411">
        <w:rPr>
          <w:spacing w:val="-4"/>
          <w:sz w:val="22"/>
          <w:szCs w:val="22"/>
        </w:rPr>
        <w:t xml:space="preserve"> </w:t>
      </w:r>
      <w:r w:rsidRPr="00B15411">
        <w:rPr>
          <w:sz w:val="22"/>
          <w:szCs w:val="22"/>
        </w:rPr>
        <w:t>ozone.</w:t>
      </w:r>
      <w:r>
        <w:rPr>
          <w:sz w:val="22"/>
          <w:szCs w:val="22"/>
        </w:rPr>
        <w:t xml:space="preserve"> </w:t>
      </w:r>
      <w:r w:rsidRPr="009C291E">
        <w:rPr>
          <w:spacing w:val="-1"/>
          <w:sz w:val="22"/>
          <w:szCs w:val="22"/>
        </w:rPr>
        <w:t xml:space="preserve"> </w:t>
      </w:r>
      <w:r>
        <w:rPr>
          <w:spacing w:val="-1"/>
          <w:sz w:val="22"/>
          <w:szCs w:val="22"/>
        </w:rPr>
        <w:t xml:space="preserve">(Refer to Table </w:t>
      </w:r>
      <w:r w:rsidR="00060D5C">
        <w:rPr>
          <w:spacing w:val="-1"/>
          <w:sz w:val="22"/>
          <w:szCs w:val="22"/>
        </w:rPr>
        <w:t>1</w:t>
      </w:r>
      <w:r>
        <w:rPr>
          <w:spacing w:val="-1"/>
          <w:sz w:val="22"/>
          <w:szCs w:val="22"/>
        </w:rPr>
        <w:t xml:space="preserve"> above)</w:t>
      </w:r>
    </w:p>
    <w:p w:rsidR="00861123" w:rsidRPr="00B15411" w:rsidRDefault="00F33275" w:rsidP="00861123">
      <w:pPr>
        <w:pStyle w:val="ListParagraph"/>
        <w:numPr>
          <w:ilvl w:val="0"/>
          <w:numId w:val="10"/>
        </w:numPr>
        <w:tabs>
          <w:tab w:val="left" w:pos="754"/>
        </w:tabs>
        <w:kinsoku w:val="0"/>
        <w:overflowPunct w:val="0"/>
        <w:autoSpaceDE w:val="0"/>
        <w:autoSpaceDN w:val="0"/>
        <w:adjustRightInd w:val="0"/>
        <w:spacing w:after="60"/>
        <w:ind w:left="360"/>
        <w:contextualSpacing w:val="0"/>
        <w:rPr>
          <w:sz w:val="22"/>
          <w:szCs w:val="22"/>
        </w:rPr>
      </w:pPr>
      <w:r>
        <w:rPr>
          <w:sz w:val="22"/>
          <w:szCs w:val="22"/>
        </w:rPr>
        <w:t xml:space="preserve">through (d).  </w:t>
      </w:r>
      <w:r w:rsidR="00D53A1E" w:rsidRPr="00D53A1E">
        <w:rPr>
          <w:sz w:val="22"/>
          <w:szCs w:val="22"/>
        </w:rPr>
        <w:t>These paragraphs are not relevant to this review</w:t>
      </w:r>
    </w:p>
    <w:p w:rsidR="00861123" w:rsidRDefault="00861123" w:rsidP="00861123">
      <w:pPr>
        <w:autoSpaceDE w:val="0"/>
        <w:autoSpaceDN w:val="0"/>
        <w:adjustRightInd w:val="0"/>
        <w:spacing w:after="120"/>
        <w:rPr>
          <w:rFonts w:eastAsia="Calibri"/>
          <w:sz w:val="22"/>
          <w:szCs w:val="22"/>
        </w:rPr>
      </w:pPr>
      <w:r>
        <w:rPr>
          <w:rFonts w:eastAsia="Calibri"/>
          <w:sz w:val="22"/>
          <w:szCs w:val="22"/>
        </w:rPr>
        <w:t xml:space="preserve">For a major modification of an existing major stationary source, the review must include a BACT determination for any PSD pollutant that exceeds the respective SER.  The review must include demonstrations that the project will not cause or contribute to a violation of an AAQS or increment and that the project will not adversely affect AQRVs.  </w:t>
      </w:r>
    </w:p>
    <w:p w:rsidR="00861123" w:rsidRDefault="00861123" w:rsidP="00861123">
      <w:pPr>
        <w:autoSpaceDE w:val="0"/>
        <w:autoSpaceDN w:val="0"/>
        <w:adjustRightInd w:val="0"/>
        <w:spacing w:after="120"/>
        <w:rPr>
          <w:rFonts w:eastAsia="Calibri"/>
          <w:sz w:val="22"/>
          <w:szCs w:val="22"/>
        </w:rPr>
      </w:pPr>
      <w:r>
        <w:rPr>
          <w:rFonts w:eastAsia="Calibri"/>
          <w:sz w:val="22"/>
          <w:szCs w:val="22"/>
        </w:rPr>
        <w:t>GHGs</w:t>
      </w:r>
      <w:r w:rsidR="00D53A1E">
        <w:rPr>
          <w:rFonts w:eastAsia="Calibri"/>
          <w:sz w:val="22"/>
          <w:szCs w:val="22"/>
        </w:rPr>
        <w:t xml:space="preserve"> </w:t>
      </w:r>
      <w:r>
        <w:rPr>
          <w:rFonts w:eastAsia="Calibri"/>
          <w:sz w:val="22"/>
          <w:szCs w:val="22"/>
        </w:rPr>
        <w:t>becomes subject to regulation at a major modification if project emissions as CO</w:t>
      </w:r>
      <w:r w:rsidRPr="00211D15">
        <w:rPr>
          <w:rFonts w:eastAsia="Calibri"/>
          <w:sz w:val="22"/>
          <w:szCs w:val="22"/>
          <w:vertAlign w:val="subscript"/>
        </w:rPr>
        <w:t>2</w:t>
      </w:r>
      <w:r>
        <w:rPr>
          <w:rFonts w:eastAsia="Calibri"/>
          <w:sz w:val="22"/>
          <w:szCs w:val="22"/>
        </w:rPr>
        <w:t>e are greater than 75,000 tons/year and mass GHGs exceed zero tons/year.  The effects of the Supreme Court opinion about this provision on the Department’s rules are also under review.</w:t>
      </w:r>
    </w:p>
    <w:p w:rsidR="00193F10" w:rsidRPr="00FE3168" w:rsidRDefault="00193F10" w:rsidP="00FE3168">
      <w:pPr>
        <w:pStyle w:val="ListParagraph"/>
        <w:numPr>
          <w:ilvl w:val="1"/>
          <w:numId w:val="13"/>
        </w:numPr>
        <w:spacing w:after="120"/>
        <w:ind w:left="720" w:hanging="720"/>
        <w:contextualSpacing w:val="0"/>
        <w:rPr>
          <w:b/>
          <w:caps/>
          <w:sz w:val="22"/>
        </w:rPr>
      </w:pPr>
      <w:r w:rsidRPr="00193F10">
        <w:rPr>
          <w:b/>
          <w:sz w:val="22"/>
        </w:rPr>
        <w:t>P</w:t>
      </w:r>
      <w:r w:rsidR="00BB36AA">
        <w:rPr>
          <w:b/>
          <w:sz w:val="22"/>
        </w:rPr>
        <w:t xml:space="preserve">revious Review and </w:t>
      </w:r>
      <w:r w:rsidR="009006DC">
        <w:rPr>
          <w:b/>
          <w:sz w:val="22"/>
        </w:rPr>
        <w:t>Pollution Controls</w:t>
      </w:r>
    </w:p>
    <w:p w:rsidR="00F315F8" w:rsidRDefault="00F315F8" w:rsidP="00FE3168">
      <w:pPr>
        <w:pStyle w:val="Default"/>
        <w:spacing w:after="120"/>
        <w:rPr>
          <w:sz w:val="22"/>
          <w:szCs w:val="22"/>
        </w:rPr>
      </w:pPr>
      <w:r>
        <w:rPr>
          <w:sz w:val="22"/>
          <w:szCs w:val="22"/>
        </w:rPr>
        <w:t xml:space="preserve">The original project to construct </w:t>
      </w:r>
      <w:r w:rsidR="00967FAA">
        <w:rPr>
          <w:sz w:val="22"/>
          <w:szCs w:val="22"/>
        </w:rPr>
        <w:t>NGS Units 1 and 2</w:t>
      </w:r>
      <w:r>
        <w:rPr>
          <w:sz w:val="22"/>
          <w:szCs w:val="22"/>
        </w:rPr>
        <w:t xml:space="preserve"> was subject to the requirements of 40 Code of Federal Regulations (CFR) Part 60, Subpart </w:t>
      </w:r>
      <w:r w:rsidR="00967FAA">
        <w:rPr>
          <w:sz w:val="22"/>
          <w:szCs w:val="22"/>
        </w:rPr>
        <w:t>Da</w:t>
      </w:r>
      <w:r>
        <w:rPr>
          <w:sz w:val="22"/>
          <w:szCs w:val="22"/>
        </w:rPr>
        <w:t xml:space="preserve"> - </w:t>
      </w:r>
      <w:r w:rsidR="00967FAA">
        <w:rPr>
          <w:sz w:val="22"/>
          <w:szCs w:val="22"/>
        </w:rPr>
        <w:t>Standards of Performance for Electric Utility Steam Generating Units for Which Construction is Commenced After September 18, 1978</w:t>
      </w:r>
      <w:r>
        <w:rPr>
          <w:sz w:val="22"/>
          <w:szCs w:val="22"/>
        </w:rPr>
        <w:t xml:space="preserve">.  These requirements include emissions limits for typical air pollutants as well as the Maximum Achievable Control Technology (MACT) for hazardous air </w:t>
      </w:r>
      <w:r>
        <w:rPr>
          <w:sz w:val="22"/>
          <w:szCs w:val="22"/>
        </w:rPr>
        <w:lastRenderedPageBreak/>
        <w:t>pollutants (HAP).</w:t>
      </w:r>
      <w:r w:rsidR="009006DC">
        <w:rPr>
          <w:sz w:val="22"/>
          <w:szCs w:val="22"/>
        </w:rPr>
        <w:t xml:space="preserve">  </w:t>
      </w:r>
      <w:r w:rsidR="00433B3C">
        <w:rPr>
          <w:sz w:val="22"/>
          <w:szCs w:val="22"/>
        </w:rPr>
        <w:t xml:space="preserve">Initial permitting of these units included a PSD review and a determination of Best Available Control Technology (BACT).  </w:t>
      </w:r>
      <w:r w:rsidR="009006DC">
        <w:rPr>
          <w:sz w:val="22"/>
          <w:szCs w:val="22"/>
        </w:rPr>
        <w:t>These units began operation in 2002.</w:t>
      </w:r>
    </w:p>
    <w:p w:rsidR="00AC273E" w:rsidRDefault="00AC273E" w:rsidP="00AC273E">
      <w:pPr>
        <w:pStyle w:val="BodyText"/>
        <w:widowControl w:val="0"/>
        <w:rPr>
          <w:sz w:val="22"/>
          <w:szCs w:val="22"/>
        </w:rPr>
      </w:pPr>
      <w:r>
        <w:rPr>
          <w:sz w:val="22"/>
          <w:szCs w:val="22"/>
        </w:rPr>
        <w:t xml:space="preserve">The control equipment for multi-pollutant control for </w:t>
      </w:r>
      <w:r w:rsidR="009006DC">
        <w:rPr>
          <w:sz w:val="22"/>
          <w:szCs w:val="22"/>
        </w:rPr>
        <w:t>NGS</w:t>
      </w:r>
      <w:r>
        <w:rPr>
          <w:sz w:val="22"/>
          <w:szCs w:val="22"/>
        </w:rPr>
        <w:t xml:space="preserve"> consists </w:t>
      </w:r>
      <w:r w:rsidR="009006DC">
        <w:rPr>
          <w:sz w:val="22"/>
          <w:szCs w:val="22"/>
        </w:rPr>
        <w:t>of the injection of limestone in the boilers, a spray dryer</w:t>
      </w:r>
      <w:r>
        <w:rPr>
          <w:sz w:val="22"/>
          <w:szCs w:val="22"/>
        </w:rPr>
        <w:t xml:space="preserve"> </w:t>
      </w:r>
      <w:r w:rsidR="009006DC">
        <w:rPr>
          <w:sz w:val="22"/>
          <w:szCs w:val="22"/>
        </w:rPr>
        <w:t xml:space="preserve">absorber </w:t>
      </w:r>
      <w:r>
        <w:rPr>
          <w:sz w:val="22"/>
          <w:szCs w:val="22"/>
        </w:rPr>
        <w:t>(SD</w:t>
      </w:r>
      <w:r w:rsidR="009006DC">
        <w:rPr>
          <w:sz w:val="22"/>
          <w:szCs w:val="22"/>
        </w:rPr>
        <w:t xml:space="preserve">A), a fabric filter (FF) baghouse, </w:t>
      </w:r>
      <w:r>
        <w:rPr>
          <w:sz w:val="22"/>
          <w:szCs w:val="22"/>
        </w:rPr>
        <w:t xml:space="preserve">and selective </w:t>
      </w:r>
      <w:r w:rsidR="009006DC">
        <w:rPr>
          <w:sz w:val="22"/>
          <w:szCs w:val="22"/>
        </w:rPr>
        <w:t>non-</w:t>
      </w:r>
      <w:r>
        <w:rPr>
          <w:sz w:val="22"/>
          <w:szCs w:val="22"/>
        </w:rPr>
        <w:t>catalytic reduction (S</w:t>
      </w:r>
      <w:r w:rsidR="009006DC">
        <w:rPr>
          <w:sz w:val="22"/>
          <w:szCs w:val="22"/>
        </w:rPr>
        <w:t>N</w:t>
      </w:r>
      <w:r>
        <w:rPr>
          <w:sz w:val="22"/>
          <w:szCs w:val="22"/>
        </w:rPr>
        <w:t>CR).</w:t>
      </w:r>
      <w:r w:rsidR="00135223">
        <w:rPr>
          <w:sz w:val="22"/>
          <w:szCs w:val="22"/>
        </w:rPr>
        <w:t xml:space="preserve">  </w:t>
      </w:r>
      <w:r w:rsidR="009006DC">
        <w:rPr>
          <w:sz w:val="22"/>
          <w:szCs w:val="22"/>
        </w:rPr>
        <w:t>This control equipment reduces emissions of SO</w:t>
      </w:r>
      <w:r w:rsidR="009006DC" w:rsidRPr="009006DC">
        <w:rPr>
          <w:sz w:val="22"/>
          <w:szCs w:val="22"/>
          <w:vertAlign w:val="subscript"/>
        </w:rPr>
        <w:t>2</w:t>
      </w:r>
      <w:r w:rsidR="009006DC">
        <w:rPr>
          <w:sz w:val="22"/>
          <w:szCs w:val="22"/>
        </w:rPr>
        <w:t>, acid gases, nitrogen oxides (NO</w:t>
      </w:r>
      <w:r w:rsidR="009006DC" w:rsidRPr="009006DC">
        <w:rPr>
          <w:sz w:val="22"/>
          <w:szCs w:val="22"/>
          <w:vertAlign w:val="subscript"/>
        </w:rPr>
        <w:t>x</w:t>
      </w:r>
      <w:r w:rsidR="009006DC">
        <w:rPr>
          <w:sz w:val="22"/>
          <w:szCs w:val="22"/>
        </w:rPr>
        <w:t>), particulate matter (PM), and HAP.</w:t>
      </w:r>
      <w:r w:rsidR="00F444EB">
        <w:rPr>
          <w:sz w:val="22"/>
          <w:szCs w:val="22"/>
        </w:rPr>
        <w:t xml:space="preserve">  Units 1 and 2 are also equipped with continuous emissions monitoring systems (CEMS) in the stack, to measure emissions of SO</w:t>
      </w:r>
      <w:r w:rsidR="00F444EB" w:rsidRPr="00F444EB">
        <w:rPr>
          <w:sz w:val="22"/>
          <w:szCs w:val="22"/>
          <w:vertAlign w:val="subscript"/>
        </w:rPr>
        <w:t>2</w:t>
      </w:r>
      <w:r w:rsidR="00F444EB">
        <w:rPr>
          <w:sz w:val="22"/>
          <w:szCs w:val="22"/>
        </w:rPr>
        <w:t>, NO</w:t>
      </w:r>
      <w:r w:rsidR="00F444EB" w:rsidRPr="00F444EB">
        <w:rPr>
          <w:sz w:val="22"/>
          <w:szCs w:val="22"/>
          <w:vertAlign w:val="subscript"/>
        </w:rPr>
        <w:t>x</w:t>
      </w:r>
      <w:r w:rsidR="00F444EB">
        <w:rPr>
          <w:sz w:val="22"/>
          <w:szCs w:val="22"/>
        </w:rPr>
        <w:t xml:space="preserve">, </w:t>
      </w:r>
      <w:r w:rsidR="00942517">
        <w:rPr>
          <w:sz w:val="22"/>
          <w:szCs w:val="22"/>
        </w:rPr>
        <w:t xml:space="preserve">and </w:t>
      </w:r>
      <w:r w:rsidR="00F444EB">
        <w:rPr>
          <w:sz w:val="22"/>
          <w:szCs w:val="22"/>
        </w:rPr>
        <w:t xml:space="preserve">CO, </w:t>
      </w:r>
      <w:r w:rsidR="00942517">
        <w:rPr>
          <w:sz w:val="22"/>
          <w:szCs w:val="22"/>
        </w:rPr>
        <w:t>as well as a continuous opacity monitor</w:t>
      </w:r>
      <w:r w:rsidR="00F444EB">
        <w:rPr>
          <w:sz w:val="22"/>
          <w:szCs w:val="22"/>
        </w:rPr>
        <w:t>.</w:t>
      </w:r>
    </w:p>
    <w:p w:rsidR="00F315F8" w:rsidRDefault="00F315F8" w:rsidP="00FE3168">
      <w:pPr>
        <w:pStyle w:val="ListParagraph"/>
        <w:numPr>
          <w:ilvl w:val="1"/>
          <w:numId w:val="13"/>
        </w:numPr>
        <w:spacing w:after="120"/>
        <w:ind w:left="720" w:hanging="720"/>
        <w:contextualSpacing w:val="0"/>
        <w:rPr>
          <w:b/>
          <w:sz w:val="22"/>
        </w:rPr>
      </w:pPr>
      <w:r>
        <w:rPr>
          <w:b/>
          <w:sz w:val="22"/>
        </w:rPr>
        <w:t xml:space="preserve">PSD </w:t>
      </w:r>
      <w:r w:rsidRPr="00193F10">
        <w:rPr>
          <w:b/>
          <w:sz w:val="22"/>
        </w:rPr>
        <w:t xml:space="preserve">Applicability for </w:t>
      </w:r>
      <w:r>
        <w:rPr>
          <w:b/>
          <w:sz w:val="22"/>
        </w:rPr>
        <w:t xml:space="preserve">New </w:t>
      </w:r>
      <w:r w:rsidRPr="00193F10">
        <w:rPr>
          <w:b/>
          <w:sz w:val="22"/>
        </w:rPr>
        <w:t>Project</w:t>
      </w:r>
    </w:p>
    <w:p w:rsidR="00F444EB" w:rsidRDefault="00F444EB" w:rsidP="00F315F8">
      <w:pPr>
        <w:pStyle w:val="BodyText"/>
        <w:widowControl w:val="0"/>
        <w:rPr>
          <w:color w:val="000000"/>
          <w:sz w:val="22"/>
          <w:szCs w:val="22"/>
        </w:rPr>
      </w:pPr>
      <w:r>
        <w:rPr>
          <w:color w:val="000000"/>
          <w:sz w:val="22"/>
          <w:szCs w:val="22"/>
        </w:rPr>
        <w:t>This project permits the reinjection of</w:t>
      </w:r>
      <w:r w:rsidR="00D2716A">
        <w:rPr>
          <w:color w:val="000000"/>
          <w:sz w:val="22"/>
          <w:szCs w:val="22"/>
        </w:rPr>
        <w:t xml:space="preserve"> a mixture of</w:t>
      </w:r>
      <w:r>
        <w:rPr>
          <w:color w:val="000000"/>
          <w:sz w:val="22"/>
          <w:szCs w:val="22"/>
        </w:rPr>
        <w:t xml:space="preserve"> fly ash</w:t>
      </w:r>
      <w:r w:rsidR="00A95CE2">
        <w:rPr>
          <w:color w:val="000000"/>
          <w:sz w:val="22"/>
          <w:szCs w:val="22"/>
        </w:rPr>
        <w:t xml:space="preserve"> and bottom ash</w:t>
      </w:r>
      <w:r>
        <w:rPr>
          <w:color w:val="000000"/>
          <w:sz w:val="22"/>
          <w:szCs w:val="22"/>
        </w:rPr>
        <w:t xml:space="preserve"> into th</w:t>
      </w:r>
      <w:r w:rsidR="00676A8C">
        <w:rPr>
          <w:color w:val="000000"/>
          <w:sz w:val="22"/>
          <w:szCs w:val="22"/>
        </w:rPr>
        <w:t>e boilers. Since there is</w:t>
      </w:r>
      <w:r>
        <w:rPr>
          <w:color w:val="000000"/>
          <w:sz w:val="22"/>
          <w:szCs w:val="22"/>
        </w:rPr>
        <w:t xml:space="preserve"> no change in the type or amount of fuel to be combusted in the boilers, and no change in the </w:t>
      </w:r>
      <w:r w:rsidR="00676A8C">
        <w:rPr>
          <w:color w:val="000000"/>
          <w:sz w:val="22"/>
          <w:szCs w:val="22"/>
        </w:rPr>
        <w:t xml:space="preserve">pollution control </w:t>
      </w:r>
      <w:r w:rsidR="0011707F">
        <w:rPr>
          <w:color w:val="000000"/>
          <w:sz w:val="22"/>
          <w:szCs w:val="22"/>
        </w:rPr>
        <w:t>requirements at</w:t>
      </w:r>
      <w:r w:rsidR="00A95CE2">
        <w:rPr>
          <w:color w:val="000000"/>
          <w:sz w:val="22"/>
          <w:szCs w:val="22"/>
        </w:rPr>
        <w:t xml:space="preserve"> the boilers</w:t>
      </w:r>
      <w:r w:rsidR="00676A8C">
        <w:rPr>
          <w:color w:val="000000"/>
          <w:sz w:val="22"/>
          <w:szCs w:val="22"/>
        </w:rPr>
        <w:t xml:space="preserve">, emissions changes are expected to be </w:t>
      </w:r>
      <w:r w:rsidR="000B2153">
        <w:rPr>
          <w:color w:val="000000"/>
          <w:sz w:val="22"/>
          <w:szCs w:val="22"/>
        </w:rPr>
        <w:t>minimal</w:t>
      </w:r>
      <w:r w:rsidR="00676A8C">
        <w:rPr>
          <w:color w:val="000000"/>
          <w:sz w:val="22"/>
          <w:szCs w:val="22"/>
        </w:rPr>
        <w:t xml:space="preserve"> for all pollutants.</w:t>
      </w:r>
      <w:r w:rsidR="00F21A67">
        <w:rPr>
          <w:color w:val="000000"/>
          <w:sz w:val="22"/>
          <w:szCs w:val="22"/>
        </w:rPr>
        <w:t xml:space="preserve">  No changes in emissions limits are requested by the permittee.</w:t>
      </w:r>
    </w:p>
    <w:p w:rsidR="00D85E96" w:rsidRDefault="00A95CE2" w:rsidP="00F315F8">
      <w:pPr>
        <w:pStyle w:val="BodyText"/>
        <w:widowControl w:val="0"/>
        <w:rPr>
          <w:color w:val="000000"/>
          <w:sz w:val="22"/>
          <w:szCs w:val="22"/>
        </w:rPr>
      </w:pPr>
      <w:r>
        <w:rPr>
          <w:color w:val="000000"/>
          <w:sz w:val="22"/>
          <w:szCs w:val="22"/>
        </w:rPr>
        <w:t xml:space="preserve">One pollutant which may possibly be affected by this project is mercury.  </w:t>
      </w:r>
      <w:r w:rsidR="00754403">
        <w:rPr>
          <w:color w:val="000000"/>
          <w:sz w:val="22"/>
          <w:szCs w:val="22"/>
        </w:rPr>
        <w:t>If</w:t>
      </w:r>
      <w:r>
        <w:rPr>
          <w:color w:val="000000"/>
          <w:sz w:val="22"/>
          <w:szCs w:val="22"/>
        </w:rPr>
        <w:t xml:space="preserve"> rein</w:t>
      </w:r>
      <w:r w:rsidR="00E67F0C">
        <w:rPr>
          <w:color w:val="000000"/>
          <w:sz w:val="22"/>
          <w:szCs w:val="22"/>
        </w:rPr>
        <w:t>troduced</w:t>
      </w:r>
      <w:r w:rsidR="00754403">
        <w:rPr>
          <w:color w:val="000000"/>
          <w:sz w:val="22"/>
          <w:szCs w:val="22"/>
        </w:rPr>
        <w:t xml:space="preserve"> fly a</w:t>
      </w:r>
      <w:r w:rsidR="00433B3C">
        <w:rPr>
          <w:color w:val="000000"/>
          <w:sz w:val="22"/>
          <w:szCs w:val="22"/>
        </w:rPr>
        <w:t>sh were being re</w:t>
      </w:r>
      <w:r w:rsidR="00754403">
        <w:rPr>
          <w:color w:val="000000"/>
          <w:sz w:val="22"/>
          <w:szCs w:val="22"/>
        </w:rPr>
        <w:t xml:space="preserve">cycled </w:t>
      </w:r>
      <w:r>
        <w:rPr>
          <w:color w:val="000000"/>
          <w:sz w:val="22"/>
          <w:szCs w:val="22"/>
        </w:rPr>
        <w:t>from the boiler, to the bag house, back to the boiler, etc.</w:t>
      </w:r>
      <w:r w:rsidR="00E67F0C">
        <w:rPr>
          <w:color w:val="000000"/>
          <w:sz w:val="22"/>
          <w:szCs w:val="22"/>
        </w:rPr>
        <w:t xml:space="preserve">, </w:t>
      </w:r>
      <w:r w:rsidR="00215860">
        <w:rPr>
          <w:color w:val="000000"/>
          <w:sz w:val="22"/>
          <w:szCs w:val="22"/>
        </w:rPr>
        <w:t>in an indefinite cycle,</w:t>
      </w:r>
      <w:r w:rsidR="00E67F0C">
        <w:rPr>
          <w:color w:val="000000"/>
          <w:sz w:val="22"/>
          <w:szCs w:val="22"/>
        </w:rPr>
        <w:t xml:space="preserve"> mercury would gradually accumulate in the system, </w:t>
      </w:r>
      <w:r w:rsidR="003D5A4E">
        <w:rPr>
          <w:color w:val="000000"/>
          <w:sz w:val="22"/>
          <w:szCs w:val="22"/>
        </w:rPr>
        <w:t>possibly leading</w:t>
      </w:r>
      <w:r w:rsidR="00E67F0C">
        <w:rPr>
          <w:color w:val="000000"/>
          <w:sz w:val="22"/>
          <w:szCs w:val="22"/>
        </w:rPr>
        <w:t xml:space="preserve"> to mercury breakthrough of the baghouse system.</w:t>
      </w:r>
      <w:r>
        <w:rPr>
          <w:color w:val="000000"/>
          <w:sz w:val="22"/>
          <w:szCs w:val="22"/>
        </w:rPr>
        <w:t xml:space="preserve"> </w:t>
      </w:r>
      <w:r w:rsidR="002F06F3">
        <w:rPr>
          <w:color w:val="000000"/>
          <w:sz w:val="22"/>
          <w:szCs w:val="22"/>
        </w:rPr>
        <w:t xml:space="preserve"> </w:t>
      </w:r>
      <w:r w:rsidR="00E67F0C">
        <w:rPr>
          <w:color w:val="000000"/>
          <w:sz w:val="22"/>
          <w:szCs w:val="22"/>
        </w:rPr>
        <w:t>However, in this project</w:t>
      </w:r>
      <w:r w:rsidR="00F703E7">
        <w:rPr>
          <w:color w:val="000000"/>
          <w:sz w:val="22"/>
          <w:szCs w:val="22"/>
        </w:rPr>
        <w:t xml:space="preserve">, </w:t>
      </w:r>
      <w:r w:rsidR="00D85E96">
        <w:rPr>
          <w:color w:val="000000"/>
          <w:sz w:val="22"/>
          <w:szCs w:val="22"/>
        </w:rPr>
        <w:t>a mixture of bottom ash and fly ash will be reinjected into the boilers; due to its volatility, mercury accumulation could occur through the fly ash route, but likely not the bottom ash route.</w:t>
      </w:r>
      <w:r w:rsidR="00A05CFA">
        <w:rPr>
          <w:color w:val="000000"/>
          <w:sz w:val="22"/>
          <w:szCs w:val="22"/>
        </w:rPr>
        <w:t xml:space="preserve">  Bed ash may cycle repeatedly through the system (as JEA is already permitted to reintroduce bed ash into the boilers), but fly ash will not be subsequently reintroduced</w:t>
      </w:r>
      <w:r w:rsidR="005B7D3D">
        <w:rPr>
          <w:color w:val="000000"/>
          <w:sz w:val="22"/>
          <w:szCs w:val="22"/>
        </w:rPr>
        <w:t xml:space="preserve"> again</w:t>
      </w:r>
      <w:r w:rsidR="00A05CFA">
        <w:rPr>
          <w:color w:val="000000"/>
          <w:sz w:val="22"/>
          <w:szCs w:val="22"/>
        </w:rPr>
        <w:t xml:space="preserve">.  </w:t>
      </w:r>
      <w:r w:rsidR="005B7D3D">
        <w:rPr>
          <w:color w:val="000000"/>
          <w:sz w:val="22"/>
          <w:szCs w:val="22"/>
        </w:rPr>
        <w:t xml:space="preserve">The only fly ash that will be reintroduced into the boilers is fly ash that was generated prior to the beginning of the project.  </w:t>
      </w:r>
      <w:r w:rsidR="00A05CFA">
        <w:rPr>
          <w:color w:val="000000"/>
          <w:sz w:val="22"/>
          <w:szCs w:val="22"/>
        </w:rPr>
        <w:t xml:space="preserve">Therefore, a runaway mercury cycle is </w:t>
      </w:r>
      <w:r w:rsidR="005B7D3D">
        <w:rPr>
          <w:color w:val="000000"/>
          <w:sz w:val="22"/>
          <w:szCs w:val="22"/>
        </w:rPr>
        <w:t xml:space="preserve">highly </w:t>
      </w:r>
      <w:r w:rsidR="00A05CFA">
        <w:rPr>
          <w:color w:val="000000"/>
          <w:sz w:val="22"/>
          <w:szCs w:val="22"/>
        </w:rPr>
        <w:t>unlikely.</w:t>
      </w:r>
    </w:p>
    <w:p w:rsidR="00A95CE2" w:rsidRDefault="002F06F3" w:rsidP="00F315F8">
      <w:pPr>
        <w:pStyle w:val="BodyText"/>
        <w:widowControl w:val="0"/>
        <w:rPr>
          <w:color w:val="000000"/>
          <w:sz w:val="22"/>
          <w:szCs w:val="22"/>
        </w:rPr>
      </w:pPr>
      <w:r>
        <w:rPr>
          <w:color w:val="000000"/>
          <w:sz w:val="22"/>
          <w:szCs w:val="22"/>
        </w:rPr>
        <w:t xml:space="preserve">In order to better understand how mercury emissions are affected by by-product reintroduction, JEA will perform at least three </w:t>
      </w:r>
      <w:r w:rsidR="00A9640F">
        <w:rPr>
          <w:color w:val="000000"/>
          <w:sz w:val="22"/>
          <w:szCs w:val="22"/>
        </w:rPr>
        <w:t xml:space="preserve">Method 30B </w:t>
      </w:r>
      <w:r>
        <w:rPr>
          <w:color w:val="000000"/>
          <w:sz w:val="22"/>
          <w:szCs w:val="22"/>
        </w:rPr>
        <w:t xml:space="preserve">mercury stack tests over the course of this project.  In addition to a baseline test before reintroduction begins, mercury stack tests will be performed approximately one month, three months, and six months after </w:t>
      </w:r>
      <w:r w:rsidR="00A9640F">
        <w:rPr>
          <w:color w:val="000000"/>
          <w:sz w:val="22"/>
          <w:szCs w:val="22"/>
        </w:rPr>
        <w:t xml:space="preserve">ash </w:t>
      </w:r>
      <w:r>
        <w:rPr>
          <w:color w:val="000000"/>
          <w:sz w:val="22"/>
          <w:szCs w:val="22"/>
        </w:rPr>
        <w:t xml:space="preserve">reintroduction begins.  These tests will </w:t>
      </w:r>
      <w:r w:rsidR="00940744">
        <w:rPr>
          <w:color w:val="000000"/>
          <w:sz w:val="22"/>
          <w:szCs w:val="22"/>
        </w:rPr>
        <w:t>show</w:t>
      </w:r>
      <w:r w:rsidR="000B2153">
        <w:rPr>
          <w:color w:val="000000"/>
          <w:sz w:val="22"/>
          <w:szCs w:val="22"/>
        </w:rPr>
        <w:t xml:space="preserve"> how by</w:t>
      </w:r>
      <w:r>
        <w:rPr>
          <w:color w:val="000000"/>
          <w:sz w:val="22"/>
          <w:szCs w:val="22"/>
        </w:rPr>
        <w:t>pr</w:t>
      </w:r>
      <w:r w:rsidR="00E8259E">
        <w:rPr>
          <w:color w:val="000000"/>
          <w:sz w:val="22"/>
          <w:szCs w:val="22"/>
        </w:rPr>
        <w:t>oduct reintroduction affects mercury over the c</w:t>
      </w:r>
      <w:r w:rsidR="00E64090">
        <w:rPr>
          <w:color w:val="000000"/>
          <w:sz w:val="22"/>
          <w:szCs w:val="22"/>
        </w:rPr>
        <w:t xml:space="preserve">ourse of several months.  These tests will also </w:t>
      </w:r>
      <w:r w:rsidR="00940744">
        <w:rPr>
          <w:color w:val="000000"/>
          <w:sz w:val="22"/>
          <w:szCs w:val="22"/>
        </w:rPr>
        <w:t>demonstrate</w:t>
      </w:r>
      <w:r w:rsidR="00E64090">
        <w:rPr>
          <w:color w:val="000000"/>
          <w:sz w:val="22"/>
          <w:szCs w:val="22"/>
        </w:rPr>
        <w:t xml:space="preserve"> that any changes in mercury emissions will be below the mercury SER</w:t>
      </w:r>
      <w:r w:rsidR="00A9640F">
        <w:rPr>
          <w:color w:val="000000"/>
          <w:sz w:val="22"/>
          <w:szCs w:val="22"/>
        </w:rPr>
        <w:t>, or in the unlikely scenario that the tests show appreciable increases in mercury emissions, they will allow JEA to terminate the project before reaching the SER for mercury.</w:t>
      </w:r>
    </w:p>
    <w:p w:rsidR="00A9640F" w:rsidRDefault="00A9640F" w:rsidP="00F315F8">
      <w:pPr>
        <w:pStyle w:val="BodyText"/>
        <w:widowControl w:val="0"/>
        <w:rPr>
          <w:color w:val="000000"/>
          <w:sz w:val="22"/>
          <w:szCs w:val="22"/>
        </w:rPr>
      </w:pPr>
      <w:r>
        <w:rPr>
          <w:color w:val="000000"/>
          <w:sz w:val="22"/>
          <w:szCs w:val="22"/>
        </w:rPr>
        <w:t>It is also possible that SO</w:t>
      </w:r>
      <w:r w:rsidRPr="009F7F65">
        <w:rPr>
          <w:color w:val="000000"/>
          <w:sz w:val="22"/>
          <w:szCs w:val="22"/>
          <w:vertAlign w:val="subscript"/>
        </w:rPr>
        <w:t>2</w:t>
      </w:r>
      <w:r>
        <w:rPr>
          <w:color w:val="000000"/>
          <w:sz w:val="22"/>
          <w:szCs w:val="22"/>
        </w:rPr>
        <w:t xml:space="preserve"> emissions may be affected by this pro</w:t>
      </w:r>
      <w:r w:rsidR="004B1C85">
        <w:rPr>
          <w:color w:val="000000"/>
          <w:sz w:val="22"/>
          <w:szCs w:val="22"/>
        </w:rPr>
        <w:t>ject.  The ash by</w:t>
      </w:r>
      <w:r>
        <w:rPr>
          <w:color w:val="000000"/>
          <w:sz w:val="22"/>
          <w:szCs w:val="22"/>
        </w:rPr>
        <w:t>product to be reintroduced into the boilers contains lime, which may reduce SO</w:t>
      </w:r>
      <w:r w:rsidRPr="009F7F65">
        <w:rPr>
          <w:color w:val="000000"/>
          <w:sz w:val="22"/>
          <w:szCs w:val="22"/>
          <w:vertAlign w:val="subscript"/>
        </w:rPr>
        <w:t>2</w:t>
      </w:r>
      <w:r w:rsidR="009F7F65">
        <w:rPr>
          <w:color w:val="000000"/>
          <w:sz w:val="22"/>
          <w:szCs w:val="22"/>
        </w:rPr>
        <w:t xml:space="preserve"> emissions (or reduce the amount of limestone needed to achieve the same SO</w:t>
      </w:r>
      <w:r w:rsidR="009F7F65" w:rsidRPr="009F7F65">
        <w:rPr>
          <w:color w:val="000000"/>
          <w:sz w:val="22"/>
          <w:szCs w:val="22"/>
          <w:vertAlign w:val="subscript"/>
        </w:rPr>
        <w:t>2</w:t>
      </w:r>
      <w:r w:rsidR="009F7F65">
        <w:rPr>
          <w:color w:val="000000"/>
          <w:sz w:val="22"/>
          <w:szCs w:val="22"/>
        </w:rPr>
        <w:t xml:space="preserve"> emissions rate).  Therefore, i</w:t>
      </w:r>
      <w:r>
        <w:rPr>
          <w:color w:val="000000"/>
          <w:sz w:val="22"/>
          <w:szCs w:val="22"/>
        </w:rPr>
        <w:t>ncreased SO</w:t>
      </w:r>
      <w:r w:rsidRPr="009F7F65">
        <w:rPr>
          <w:color w:val="000000"/>
          <w:sz w:val="22"/>
          <w:szCs w:val="22"/>
          <w:vertAlign w:val="subscript"/>
        </w:rPr>
        <w:t>2</w:t>
      </w:r>
      <w:r>
        <w:rPr>
          <w:color w:val="000000"/>
          <w:sz w:val="22"/>
          <w:szCs w:val="22"/>
        </w:rPr>
        <w:t xml:space="preserve"> emission</w:t>
      </w:r>
      <w:r w:rsidR="00D2716A">
        <w:rPr>
          <w:color w:val="000000"/>
          <w:sz w:val="22"/>
          <w:szCs w:val="22"/>
        </w:rPr>
        <w:t>s</w:t>
      </w:r>
      <w:r>
        <w:rPr>
          <w:color w:val="000000"/>
          <w:sz w:val="22"/>
          <w:szCs w:val="22"/>
        </w:rPr>
        <w:t xml:space="preserve"> from this project are unlikely.  This project would also be unlikely to appreciably affect emissions of NO</w:t>
      </w:r>
      <w:r w:rsidRPr="009F7F65">
        <w:rPr>
          <w:color w:val="000000"/>
          <w:sz w:val="22"/>
          <w:szCs w:val="22"/>
          <w:vertAlign w:val="subscript"/>
        </w:rPr>
        <w:t>x</w:t>
      </w:r>
      <w:r>
        <w:rPr>
          <w:color w:val="000000"/>
          <w:sz w:val="22"/>
          <w:szCs w:val="22"/>
        </w:rPr>
        <w:t xml:space="preserve"> or CO.  </w:t>
      </w:r>
      <w:r w:rsidR="009F7F65">
        <w:rPr>
          <w:color w:val="000000"/>
          <w:sz w:val="22"/>
          <w:szCs w:val="22"/>
        </w:rPr>
        <w:t xml:space="preserve">Additionally, due to the presence of CEMS, any changes in emissions of these pollutants will be apparent in the continuous monitoring data, which would allow JEA to terminate </w:t>
      </w:r>
      <w:r w:rsidR="00D2716A">
        <w:rPr>
          <w:color w:val="000000"/>
          <w:sz w:val="22"/>
          <w:szCs w:val="22"/>
        </w:rPr>
        <w:t xml:space="preserve">or adjust </w:t>
      </w:r>
      <w:r w:rsidR="009F7F65">
        <w:rPr>
          <w:color w:val="000000"/>
          <w:sz w:val="22"/>
          <w:szCs w:val="22"/>
        </w:rPr>
        <w:t>the project in the unlikely event of an appreciable increase in SO</w:t>
      </w:r>
      <w:r w:rsidR="009F7F65" w:rsidRPr="009F7F65">
        <w:rPr>
          <w:color w:val="000000"/>
          <w:sz w:val="22"/>
          <w:szCs w:val="22"/>
          <w:vertAlign w:val="subscript"/>
        </w:rPr>
        <w:t>2</w:t>
      </w:r>
      <w:r w:rsidR="009F7F65">
        <w:rPr>
          <w:color w:val="000000"/>
          <w:sz w:val="22"/>
          <w:szCs w:val="22"/>
        </w:rPr>
        <w:t>, NO</w:t>
      </w:r>
      <w:r w:rsidR="009F7F65" w:rsidRPr="009F7F65">
        <w:rPr>
          <w:color w:val="000000"/>
          <w:sz w:val="22"/>
          <w:szCs w:val="22"/>
          <w:vertAlign w:val="subscript"/>
        </w:rPr>
        <w:t>x</w:t>
      </w:r>
      <w:r w:rsidR="009F7F65">
        <w:rPr>
          <w:color w:val="000000"/>
          <w:sz w:val="22"/>
          <w:szCs w:val="22"/>
        </w:rPr>
        <w:t xml:space="preserve">, or CO emissions.  </w:t>
      </w:r>
    </w:p>
    <w:p w:rsidR="00FE3168" w:rsidRDefault="00940744" w:rsidP="00F21A67">
      <w:pPr>
        <w:pStyle w:val="BodyText"/>
        <w:widowControl w:val="0"/>
        <w:rPr>
          <w:color w:val="000000"/>
          <w:sz w:val="22"/>
          <w:szCs w:val="22"/>
        </w:rPr>
      </w:pPr>
      <w:r>
        <w:rPr>
          <w:color w:val="000000"/>
          <w:sz w:val="22"/>
          <w:szCs w:val="22"/>
        </w:rPr>
        <w:t>A</w:t>
      </w:r>
      <w:r w:rsidR="008E63AF">
        <w:rPr>
          <w:color w:val="000000"/>
          <w:sz w:val="22"/>
          <w:szCs w:val="22"/>
        </w:rPr>
        <w:t>ny emissions changes grea</w:t>
      </w:r>
      <w:r>
        <w:rPr>
          <w:color w:val="000000"/>
          <w:sz w:val="22"/>
          <w:szCs w:val="22"/>
        </w:rPr>
        <w:t>ter than the SERs in Table 1 due to the reintroduction of by-p</w:t>
      </w:r>
      <w:r w:rsidR="004B1C85">
        <w:rPr>
          <w:color w:val="000000"/>
          <w:sz w:val="22"/>
          <w:szCs w:val="22"/>
        </w:rPr>
        <w:t>roduct into the boilers are</w:t>
      </w:r>
      <w:r>
        <w:rPr>
          <w:color w:val="000000"/>
          <w:sz w:val="22"/>
          <w:szCs w:val="22"/>
        </w:rPr>
        <w:t xml:space="preserve"> </w:t>
      </w:r>
      <w:r w:rsidR="004B1C85">
        <w:rPr>
          <w:color w:val="000000"/>
          <w:sz w:val="22"/>
          <w:szCs w:val="22"/>
        </w:rPr>
        <w:t>extreme</w:t>
      </w:r>
      <w:r>
        <w:rPr>
          <w:color w:val="000000"/>
          <w:sz w:val="22"/>
          <w:szCs w:val="22"/>
        </w:rPr>
        <w:t xml:space="preserve">ly unlikely.  Therefore, </w:t>
      </w:r>
      <w:r w:rsidR="00215860">
        <w:rPr>
          <w:color w:val="000000"/>
          <w:sz w:val="22"/>
          <w:szCs w:val="22"/>
        </w:rPr>
        <w:t xml:space="preserve">there is reasonable assurance that the SER values in Table 1 will not be exceeded, and </w:t>
      </w:r>
      <w:r>
        <w:rPr>
          <w:color w:val="000000"/>
          <w:sz w:val="22"/>
          <w:szCs w:val="22"/>
        </w:rPr>
        <w:t>PSD provisions are not triggered for this project.</w:t>
      </w:r>
    </w:p>
    <w:p w:rsidR="00FE3168" w:rsidRDefault="00FE3168" w:rsidP="00FE3168">
      <w:r>
        <w:br w:type="page"/>
      </w:r>
    </w:p>
    <w:p w:rsidR="00193F10" w:rsidRDefault="00617209" w:rsidP="00FE3168">
      <w:pPr>
        <w:pStyle w:val="ListParagraph"/>
        <w:numPr>
          <w:ilvl w:val="0"/>
          <w:numId w:val="13"/>
        </w:numPr>
        <w:spacing w:after="120"/>
        <w:ind w:left="720" w:hanging="720"/>
        <w:contextualSpacing w:val="0"/>
        <w:rPr>
          <w:b/>
          <w:caps/>
          <w:sz w:val="22"/>
        </w:rPr>
      </w:pPr>
      <w:r>
        <w:rPr>
          <w:b/>
          <w:caps/>
          <w:sz w:val="22"/>
        </w:rPr>
        <w:lastRenderedPageBreak/>
        <w:t>Department review</w:t>
      </w:r>
    </w:p>
    <w:p w:rsidR="005B7D3D" w:rsidRDefault="005B7D3D" w:rsidP="007F0D8E">
      <w:pPr>
        <w:widowControl w:val="0"/>
        <w:autoSpaceDE w:val="0"/>
        <w:autoSpaceDN w:val="0"/>
        <w:adjustRightInd w:val="0"/>
        <w:spacing w:after="120"/>
        <w:rPr>
          <w:sz w:val="22"/>
          <w:szCs w:val="22"/>
        </w:rPr>
      </w:pPr>
      <w:r>
        <w:rPr>
          <w:sz w:val="22"/>
          <w:szCs w:val="22"/>
        </w:rPr>
        <w:t>On September 19, 2014, the Department issued a Request for Additional Information to JEA, who responded on October 15, 2014.  The Department’s questions and JEA’s responses are below.</w:t>
      </w:r>
    </w:p>
    <w:p w:rsidR="005B7D3D" w:rsidRPr="005B7D3D" w:rsidRDefault="005B7D3D" w:rsidP="007F0D8E">
      <w:pPr>
        <w:widowControl w:val="0"/>
        <w:autoSpaceDE w:val="0"/>
        <w:autoSpaceDN w:val="0"/>
        <w:adjustRightInd w:val="0"/>
        <w:spacing w:after="120"/>
        <w:rPr>
          <w:sz w:val="22"/>
          <w:szCs w:val="22"/>
        </w:rPr>
      </w:pPr>
      <w:r w:rsidRPr="005B7D3D">
        <w:rPr>
          <w:sz w:val="22"/>
          <w:szCs w:val="22"/>
        </w:rPr>
        <w:t>Question 1:</w:t>
      </w:r>
    </w:p>
    <w:p w:rsidR="005B7D3D" w:rsidRPr="005B7D3D" w:rsidRDefault="005B7D3D" w:rsidP="005B7D3D">
      <w:pPr>
        <w:pStyle w:val="BodyTextIndent"/>
        <w:ind w:left="0"/>
        <w:rPr>
          <w:sz w:val="22"/>
          <w:szCs w:val="22"/>
        </w:rPr>
      </w:pPr>
      <w:r w:rsidRPr="005B7D3D">
        <w:rPr>
          <w:sz w:val="22"/>
          <w:szCs w:val="22"/>
          <w:u w:val="single"/>
        </w:rPr>
        <w:t>Rate of Byproduct Reintroduction</w:t>
      </w:r>
      <w:r w:rsidRPr="005B7D3D">
        <w:rPr>
          <w:sz w:val="22"/>
          <w:szCs w:val="22"/>
        </w:rPr>
        <w:t>:  The application does not indicate how much byproduct JEA intends to reintroduce into Boilers 1 and 2, or the hourly or daily rate at which it intends to reintroduce the byproduct.  Please identify the maximum rate (in pounds per hour) that byproduct will be reintroduced into the boilers as well as the maximum cumulative amount of byproduct (tons) that will be reintroduced over the course of the six-month reintroduction project.  Also, please indicate the number of days over the course of the six month test period that JEA intends to reintroduce byproduct.</w:t>
      </w:r>
    </w:p>
    <w:p w:rsidR="005B7D3D" w:rsidRPr="005B7D3D" w:rsidRDefault="005B7D3D" w:rsidP="005B7D3D">
      <w:pPr>
        <w:pStyle w:val="BodyTextIndent"/>
        <w:ind w:left="0"/>
        <w:rPr>
          <w:sz w:val="22"/>
          <w:szCs w:val="22"/>
        </w:rPr>
      </w:pPr>
      <w:r w:rsidRPr="005B7D3D">
        <w:rPr>
          <w:sz w:val="22"/>
          <w:szCs w:val="22"/>
        </w:rPr>
        <w:t>Response:</w:t>
      </w:r>
    </w:p>
    <w:p w:rsidR="005B7D3D" w:rsidRPr="007F3A78" w:rsidRDefault="005B7D3D" w:rsidP="007F3A78">
      <w:pPr>
        <w:pStyle w:val="BodyTextIndent"/>
        <w:ind w:left="0"/>
        <w:rPr>
          <w:i/>
          <w:sz w:val="22"/>
          <w:szCs w:val="22"/>
        </w:rPr>
      </w:pPr>
      <w:r w:rsidRPr="007F3A78">
        <w:rPr>
          <w:i/>
          <w:sz w:val="22"/>
          <w:szCs w:val="22"/>
        </w:rPr>
        <w:t>The maximum reinjection rate will be limited to the system limit of 160,000 lb/hr (per unit). Over the last three (3) months of operation on 100% coal, the units averaged 20,000 to 30,000 lb/hr (per unit) of limestone injection for bed level control.</w:t>
      </w:r>
      <w:r w:rsidR="008A6179">
        <w:rPr>
          <w:i/>
          <w:sz w:val="22"/>
          <w:szCs w:val="22"/>
        </w:rPr>
        <w:t xml:space="preserve"> </w:t>
      </w:r>
      <w:r w:rsidRPr="007F3A78">
        <w:rPr>
          <w:i/>
          <w:sz w:val="22"/>
          <w:szCs w:val="22"/>
        </w:rPr>
        <w:t xml:space="preserve"> If we continue to burn 100% coal, the ash reintroduction rate will likely not exceed this average rate.</w:t>
      </w:r>
      <w:r w:rsidR="008A6179">
        <w:rPr>
          <w:i/>
          <w:sz w:val="22"/>
          <w:szCs w:val="22"/>
        </w:rPr>
        <w:t xml:space="preserve"> </w:t>
      </w:r>
      <w:r w:rsidRPr="007F3A78">
        <w:rPr>
          <w:i/>
          <w:sz w:val="22"/>
          <w:szCs w:val="22"/>
        </w:rPr>
        <w:t xml:space="preserve"> However, once the fuel blend changes to a higher sulfur combination of coal and pet coke, the reinjection rate will increase and/or we would also have to use limestone.</w:t>
      </w:r>
    </w:p>
    <w:p w:rsidR="005B7D3D" w:rsidRPr="007F3A78" w:rsidRDefault="005B7D3D" w:rsidP="007F3A78">
      <w:pPr>
        <w:pStyle w:val="BodyTextIndent"/>
        <w:ind w:left="0"/>
        <w:rPr>
          <w:i/>
          <w:sz w:val="22"/>
          <w:szCs w:val="22"/>
        </w:rPr>
      </w:pPr>
      <w:r w:rsidRPr="007F3A78">
        <w:rPr>
          <w:i/>
          <w:sz w:val="22"/>
          <w:szCs w:val="22"/>
        </w:rPr>
        <w:t>During the six-month the</w:t>
      </w:r>
      <w:r w:rsidR="008A6179">
        <w:rPr>
          <w:i/>
          <w:sz w:val="22"/>
          <w:szCs w:val="22"/>
        </w:rPr>
        <w:t xml:space="preserve"> (sic)</w:t>
      </w:r>
      <w:r w:rsidRPr="007F3A78">
        <w:rPr>
          <w:i/>
          <w:sz w:val="22"/>
          <w:szCs w:val="22"/>
        </w:rPr>
        <w:t xml:space="preserve"> period, the units could be running 24/7 and up to 180 days. </w:t>
      </w:r>
      <w:r w:rsidR="008A6179">
        <w:rPr>
          <w:i/>
          <w:sz w:val="22"/>
          <w:szCs w:val="22"/>
        </w:rPr>
        <w:t xml:space="preserve"> </w:t>
      </w:r>
      <w:r w:rsidRPr="007F3A78">
        <w:rPr>
          <w:i/>
          <w:sz w:val="22"/>
          <w:szCs w:val="22"/>
        </w:rPr>
        <w:t>Therefore, the cumulative amount of by-product re-injected could be as little as 43,000 tons and as much as 346,000 tons per unit over the 6-month period.</w:t>
      </w:r>
    </w:p>
    <w:p w:rsidR="005B7D3D" w:rsidRPr="007F3A78" w:rsidRDefault="007F3A78" w:rsidP="007F0D8E">
      <w:pPr>
        <w:widowControl w:val="0"/>
        <w:autoSpaceDE w:val="0"/>
        <w:autoSpaceDN w:val="0"/>
        <w:adjustRightInd w:val="0"/>
        <w:spacing w:after="120"/>
        <w:rPr>
          <w:sz w:val="22"/>
          <w:szCs w:val="22"/>
        </w:rPr>
      </w:pPr>
      <w:r w:rsidRPr="007F3A78">
        <w:rPr>
          <w:sz w:val="22"/>
          <w:szCs w:val="22"/>
        </w:rPr>
        <w:t>Question 2:</w:t>
      </w:r>
    </w:p>
    <w:p w:rsidR="007F3A78" w:rsidRPr="007F3A78" w:rsidRDefault="007F3A78" w:rsidP="007F3A78">
      <w:pPr>
        <w:pStyle w:val="BodyTextIndent"/>
        <w:ind w:left="0"/>
        <w:rPr>
          <w:sz w:val="22"/>
          <w:szCs w:val="22"/>
        </w:rPr>
      </w:pPr>
      <w:r w:rsidRPr="007F3A78">
        <w:rPr>
          <w:sz w:val="22"/>
          <w:szCs w:val="22"/>
          <w:u w:val="single"/>
        </w:rPr>
        <w:t>Byproduct Reintroduction Process</w:t>
      </w:r>
      <w:r w:rsidRPr="007F3A78">
        <w:rPr>
          <w:sz w:val="22"/>
          <w:szCs w:val="22"/>
        </w:rPr>
        <w:t>:  There is no information in the application on the physical process of byproduct reinjection.  Please provide information on the method and point of byproduct injection into the boilers and the method of transport of byproduct from on-site storage to the boilers.  Also, please describe any new temporary equipment, such as ducts, pipes, fans, conveyors, dust collectors, etc., that will be necessary.  If a process flow diagram is necessary to describe this adequately, please provide one.</w:t>
      </w:r>
    </w:p>
    <w:p w:rsidR="007F3A78" w:rsidRDefault="007F3A78" w:rsidP="007F0D8E">
      <w:pPr>
        <w:widowControl w:val="0"/>
        <w:autoSpaceDE w:val="0"/>
        <w:autoSpaceDN w:val="0"/>
        <w:adjustRightInd w:val="0"/>
        <w:spacing w:after="120"/>
        <w:rPr>
          <w:sz w:val="22"/>
          <w:szCs w:val="22"/>
        </w:rPr>
      </w:pPr>
      <w:r>
        <w:rPr>
          <w:sz w:val="22"/>
          <w:szCs w:val="22"/>
        </w:rPr>
        <w:t>Response:</w:t>
      </w:r>
    </w:p>
    <w:p w:rsidR="007F3A78" w:rsidRPr="005B293C" w:rsidRDefault="007F3A78" w:rsidP="008A6179">
      <w:pPr>
        <w:autoSpaceDE w:val="0"/>
        <w:autoSpaceDN w:val="0"/>
        <w:adjustRightInd w:val="0"/>
        <w:rPr>
          <w:i/>
          <w:color w:val="4B4B4B"/>
          <w:sz w:val="22"/>
          <w:szCs w:val="22"/>
        </w:rPr>
      </w:pPr>
      <w:r w:rsidRPr="005B293C">
        <w:rPr>
          <w:i/>
          <w:color w:val="000000" w:themeColor="text1"/>
          <w:sz w:val="22"/>
          <w:szCs w:val="22"/>
        </w:rPr>
        <w:t xml:space="preserve">At present, the intent is to use the existing limestone injection system. See </w:t>
      </w:r>
      <w:r w:rsidR="008A6179" w:rsidRPr="008A6179">
        <w:rPr>
          <w:b/>
          <w:color w:val="000000" w:themeColor="text1"/>
          <w:sz w:val="22"/>
          <w:szCs w:val="22"/>
        </w:rPr>
        <w:fldChar w:fldCharType="begin"/>
      </w:r>
      <w:r w:rsidR="008A6179" w:rsidRPr="008A6179">
        <w:rPr>
          <w:b/>
          <w:color w:val="000000" w:themeColor="text1"/>
          <w:sz w:val="22"/>
          <w:szCs w:val="22"/>
        </w:rPr>
        <w:instrText xml:space="preserve"> REF _Ref403726112 \h </w:instrText>
      </w:r>
      <w:r w:rsidR="008A6179" w:rsidRPr="008A6179">
        <w:rPr>
          <w:b/>
          <w:color w:val="000000" w:themeColor="text1"/>
          <w:sz w:val="22"/>
          <w:szCs w:val="22"/>
        </w:rPr>
      </w:r>
      <w:r w:rsidR="008A6179" w:rsidRPr="008A6179">
        <w:rPr>
          <w:b/>
          <w:color w:val="000000" w:themeColor="text1"/>
          <w:sz w:val="22"/>
          <w:szCs w:val="22"/>
        </w:rPr>
        <w:instrText xml:space="preserve"> \* MERGEFORMAT </w:instrText>
      </w:r>
      <w:r w:rsidR="008A6179" w:rsidRPr="008A6179">
        <w:rPr>
          <w:b/>
          <w:color w:val="000000" w:themeColor="text1"/>
          <w:sz w:val="22"/>
          <w:szCs w:val="22"/>
        </w:rPr>
        <w:fldChar w:fldCharType="separate"/>
      </w:r>
      <w:r w:rsidR="008A6179" w:rsidRPr="008A6179">
        <w:rPr>
          <w:b/>
          <w:sz w:val="22"/>
          <w:szCs w:val="22"/>
        </w:rPr>
        <w:t xml:space="preserve">Figure </w:t>
      </w:r>
      <w:r w:rsidR="008A6179" w:rsidRPr="008A6179">
        <w:rPr>
          <w:b/>
          <w:noProof/>
          <w:sz w:val="22"/>
          <w:szCs w:val="22"/>
        </w:rPr>
        <w:t>4</w:t>
      </w:r>
      <w:r w:rsidR="008A6179" w:rsidRPr="008A6179">
        <w:rPr>
          <w:b/>
          <w:color w:val="000000" w:themeColor="text1"/>
          <w:sz w:val="22"/>
          <w:szCs w:val="22"/>
        </w:rPr>
        <w:fldChar w:fldCharType="end"/>
      </w:r>
      <w:r w:rsidR="008A6179">
        <w:rPr>
          <w:i/>
          <w:color w:val="000000" w:themeColor="text1"/>
          <w:sz w:val="22"/>
          <w:szCs w:val="22"/>
        </w:rPr>
        <w:t xml:space="preserve"> </w:t>
      </w:r>
      <w:r w:rsidRPr="005B293C">
        <w:rPr>
          <w:i/>
          <w:color w:val="000000" w:themeColor="text1"/>
          <w:sz w:val="22"/>
          <w:szCs w:val="22"/>
        </w:rPr>
        <w:t>below. Limestone injection is into the boiler's fluidized bed to absorb and reduce SO</w:t>
      </w:r>
      <w:r w:rsidRPr="005B293C">
        <w:rPr>
          <w:i/>
          <w:color w:val="000000" w:themeColor="text1"/>
          <w:sz w:val="22"/>
          <w:szCs w:val="22"/>
          <w:vertAlign w:val="subscript"/>
        </w:rPr>
        <w:t>2</w:t>
      </w:r>
      <w:r w:rsidRPr="005B293C">
        <w:rPr>
          <w:i/>
          <w:color w:val="000000" w:themeColor="text1"/>
          <w:sz w:val="22"/>
          <w:szCs w:val="22"/>
        </w:rPr>
        <w:t xml:space="preserve"> emissions.</w:t>
      </w:r>
      <w:r w:rsidR="008A6179">
        <w:rPr>
          <w:i/>
          <w:color w:val="000000" w:themeColor="text1"/>
          <w:sz w:val="22"/>
          <w:szCs w:val="22"/>
        </w:rPr>
        <w:t xml:space="preserve">  </w:t>
      </w:r>
      <w:r w:rsidRPr="005B293C">
        <w:rPr>
          <w:i/>
          <w:color w:val="000000" w:themeColor="text1"/>
          <w:sz w:val="22"/>
          <w:szCs w:val="22"/>
        </w:rPr>
        <w:t xml:space="preserve">The by-products would be transported from onsite storage area to the limestone storage building, and loaded onto the conveyor system using front-end loaders. </w:t>
      </w:r>
      <w:r w:rsidR="008A6179">
        <w:rPr>
          <w:i/>
          <w:color w:val="000000" w:themeColor="text1"/>
          <w:sz w:val="22"/>
          <w:szCs w:val="22"/>
        </w:rPr>
        <w:t xml:space="preserve"> </w:t>
      </w:r>
      <w:r w:rsidRPr="005B293C">
        <w:rPr>
          <w:i/>
          <w:color w:val="000000" w:themeColor="text1"/>
          <w:sz w:val="22"/>
          <w:szCs w:val="22"/>
        </w:rPr>
        <w:t>There will be no new ducts, pipes, fans, conveyors or dust collectors</w:t>
      </w:r>
      <w:r w:rsidRPr="005B293C">
        <w:rPr>
          <w:i/>
          <w:color w:val="505050"/>
          <w:sz w:val="22"/>
          <w:szCs w:val="22"/>
        </w:rPr>
        <w:t>.</w:t>
      </w:r>
    </w:p>
    <w:p w:rsidR="00522A83" w:rsidRPr="00522A83" w:rsidRDefault="00522A83" w:rsidP="00522A83">
      <w:pPr>
        <w:widowControl w:val="0"/>
        <w:autoSpaceDE w:val="0"/>
        <w:autoSpaceDN w:val="0"/>
        <w:adjustRightInd w:val="0"/>
        <w:spacing w:after="120"/>
        <w:rPr>
          <w:sz w:val="22"/>
          <w:szCs w:val="22"/>
        </w:rPr>
      </w:pPr>
      <w:r w:rsidRPr="00522A83">
        <w:rPr>
          <w:sz w:val="22"/>
          <w:szCs w:val="22"/>
        </w:rPr>
        <w:t>Question 3:</w:t>
      </w:r>
    </w:p>
    <w:p w:rsidR="00522A83" w:rsidRPr="00522A83" w:rsidRDefault="00522A83" w:rsidP="00522A83">
      <w:pPr>
        <w:widowControl w:val="0"/>
        <w:autoSpaceDE w:val="0"/>
        <w:autoSpaceDN w:val="0"/>
        <w:adjustRightInd w:val="0"/>
        <w:spacing w:after="120"/>
        <w:rPr>
          <w:sz w:val="22"/>
          <w:szCs w:val="22"/>
        </w:rPr>
      </w:pPr>
      <w:r w:rsidRPr="00522A83">
        <w:rPr>
          <w:sz w:val="22"/>
          <w:szCs w:val="22"/>
          <w:u w:val="single"/>
        </w:rPr>
        <w:t>Byproduct Metals Content</w:t>
      </w:r>
      <w:r w:rsidRPr="00522A83">
        <w:rPr>
          <w:sz w:val="22"/>
          <w:szCs w:val="22"/>
        </w:rPr>
        <w:t>:  In determining the effect of byproduct reintroduction on emissions, it is necessary to understand the content of important metals in the byproduct to be reintroduced.  Please provide information on the content of the following metals in the ash byproduct to be reintroduced:  mercury, antimony, arsenic, beryllium, cadmium, chromium, cobalt, lead, manganese, nickel, and selenium.</w:t>
      </w:r>
    </w:p>
    <w:p w:rsidR="00522A83" w:rsidRPr="00522A83" w:rsidRDefault="00522A83" w:rsidP="00522A83">
      <w:pPr>
        <w:widowControl w:val="0"/>
        <w:autoSpaceDE w:val="0"/>
        <w:autoSpaceDN w:val="0"/>
        <w:adjustRightInd w:val="0"/>
        <w:spacing w:after="120"/>
        <w:rPr>
          <w:sz w:val="22"/>
          <w:szCs w:val="22"/>
        </w:rPr>
      </w:pPr>
      <w:r w:rsidRPr="00522A83">
        <w:rPr>
          <w:sz w:val="22"/>
          <w:szCs w:val="22"/>
        </w:rPr>
        <w:t>Response:</w:t>
      </w:r>
    </w:p>
    <w:p w:rsidR="00522A83" w:rsidRPr="00522A83" w:rsidRDefault="00522A83" w:rsidP="00522A83">
      <w:pPr>
        <w:widowControl w:val="0"/>
        <w:autoSpaceDE w:val="0"/>
        <w:autoSpaceDN w:val="0"/>
        <w:adjustRightInd w:val="0"/>
        <w:spacing w:after="120"/>
        <w:rPr>
          <w:sz w:val="22"/>
          <w:szCs w:val="22"/>
        </w:rPr>
      </w:pPr>
      <w:r w:rsidRPr="00522A83">
        <w:rPr>
          <w:sz w:val="22"/>
          <w:szCs w:val="22"/>
        </w:rPr>
        <w:t>See</w:t>
      </w:r>
      <w:r w:rsidR="008A6179">
        <w:rPr>
          <w:sz w:val="22"/>
          <w:szCs w:val="22"/>
        </w:rPr>
        <w:t xml:space="preserve"> </w:t>
      </w:r>
      <w:r w:rsidR="008A6179" w:rsidRPr="008A6179">
        <w:rPr>
          <w:b/>
          <w:sz w:val="22"/>
          <w:szCs w:val="22"/>
        </w:rPr>
        <w:fldChar w:fldCharType="begin"/>
      </w:r>
      <w:r w:rsidR="008A6179" w:rsidRPr="008A6179">
        <w:rPr>
          <w:b/>
          <w:sz w:val="22"/>
          <w:szCs w:val="22"/>
        </w:rPr>
        <w:instrText xml:space="preserve"> REF _Ref403726224 \h </w:instrText>
      </w:r>
      <w:r w:rsidR="008A6179" w:rsidRPr="008A6179">
        <w:rPr>
          <w:b/>
          <w:sz w:val="22"/>
          <w:szCs w:val="22"/>
        </w:rPr>
      </w:r>
      <w:r w:rsidR="008A6179" w:rsidRPr="008A6179">
        <w:rPr>
          <w:b/>
          <w:sz w:val="22"/>
          <w:szCs w:val="22"/>
        </w:rPr>
        <w:instrText xml:space="preserve"> \* MERGEFORMAT </w:instrText>
      </w:r>
      <w:r w:rsidR="008A6179" w:rsidRPr="008A6179">
        <w:rPr>
          <w:b/>
          <w:sz w:val="22"/>
          <w:szCs w:val="22"/>
        </w:rPr>
        <w:fldChar w:fldCharType="separate"/>
      </w:r>
      <w:r w:rsidR="008A6179" w:rsidRPr="008A6179">
        <w:rPr>
          <w:b/>
          <w:sz w:val="22"/>
          <w:szCs w:val="22"/>
        </w:rPr>
        <w:t xml:space="preserve">Table </w:t>
      </w:r>
      <w:r w:rsidR="008A6179" w:rsidRPr="008A6179">
        <w:rPr>
          <w:b/>
          <w:noProof/>
          <w:sz w:val="22"/>
          <w:szCs w:val="22"/>
        </w:rPr>
        <w:t>2</w:t>
      </w:r>
      <w:r w:rsidR="008A6179" w:rsidRPr="008A6179">
        <w:rPr>
          <w:b/>
          <w:sz w:val="22"/>
          <w:szCs w:val="22"/>
        </w:rPr>
        <w:fldChar w:fldCharType="end"/>
      </w:r>
      <w:r w:rsidRPr="00522A83">
        <w:rPr>
          <w:sz w:val="22"/>
          <w:szCs w:val="22"/>
        </w:rPr>
        <w:t>.</w:t>
      </w:r>
    </w:p>
    <w:p w:rsidR="008A6179" w:rsidRDefault="008A6179">
      <w:pPr>
        <w:rPr>
          <w:sz w:val="22"/>
          <w:szCs w:val="22"/>
        </w:rPr>
      </w:pPr>
      <w:r>
        <w:rPr>
          <w:sz w:val="22"/>
          <w:szCs w:val="22"/>
        </w:rPr>
        <w:br w:type="page"/>
      </w:r>
    </w:p>
    <w:p w:rsidR="007F3A78" w:rsidRDefault="007F3A78" w:rsidP="007F0D8E">
      <w:pPr>
        <w:widowControl w:val="0"/>
        <w:autoSpaceDE w:val="0"/>
        <w:autoSpaceDN w:val="0"/>
        <w:adjustRightInd w:val="0"/>
        <w:spacing w:after="120"/>
        <w:rPr>
          <w:sz w:val="22"/>
          <w:szCs w:val="22"/>
        </w:rPr>
      </w:pPr>
      <w:r w:rsidRPr="007F3A78">
        <w:rPr>
          <w:noProof/>
          <w:sz w:val="22"/>
          <w:szCs w:val="22"/>
        </w:rPr>
        <w:lastRenderedPageBreak/>
        <w:drawing>
          <wp:inline distT="0" distB="0" distL="0" distR="0" wp14:anchorId="43422897" wp14:editId="5C1C064A">
            <wp:extent cx="6400650" cy="4457700"/>
            <wp:effectExtent l="19050" t="19050" r="19685"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b="5136"/>
                    <a:stretch/>
                  </pic:blipFill>
                  <pic:spPr bwMode="auto">
                    <a:xfrm>
                      <a:off x="0" y="0"/>
                      <a:ext cx="6400800" cy="4457804"/>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p>
    <w:p w:rsidR="007F3A78" w:rsidRPr="008A6179" w:rsidRDefault="008A6179" w:rsidP="008A6179">
      <w:pPr>
        <w:pStyle w:val="Caption"/>
        <w:spacing w:before="120"/>
        <w:jc w:val="center"/>
        <w:rPr>
          <w:rFonts w:ascii="Times New Roman Bold" w:hAnsi="Times New Roman Bold"/>
          <w:caps w:val="0"/>
          <w:szCs w:val="22"/>
        </w:rPr>
      </w:pPr>
      <w:bookmarkStart w:id="5" w:name="_Ref403726112"/>
      <w:r w:rsidRPr="008A6179">
        <w:rPr>
          <w:rFonts w:ascii="Times New Roman Bold" w:hAnsi="Times New Roman Bold"/>
          <w:caps w:val="0"/>
        </w:rPr>
        <w:t xml:space="preserve">Figure </w:t>
      </w:r>
      <w:r w:rsidRPr="008A6179">
        <w:rPr>
          <w:rFonts w:ascii="Times New Roman Bold" w:hAnsi="Times New Roman Bold"/>
          <w:caps w:val="0"/>
        </w:rPr>
        <w:fldChar w:fldCharType="begin"/>
      </w:r>
      <w:r w:rsidRPr="008A6179">
        <w:rPr>
          <w:rFonts w:ascii="Times New Roman Bold" w:hAnsi="Times New Roman Bold"/>
          <w:caps w:val="0"/>
        </w:rPr>
        <w:instrText xml:space="preserve"> SEQ Figure \* ARABIC </w:instrText>
      </w:r>
      <w:r w:rsidRPr="008A6179">
        <w:rPr>
          <w:rFonts w:ascii="Times New Roman Bold" w:hAnsi="Times New Roman Bold"/>
          <w:caps w:val="0"/>
        </w:rPr>
        <w:fldChar w:fldCharType="separate"/>
      </w:r>
      <w:r w:rsidRPr="008A6179">
        <w:rPr>
          <w:rFonts w:ascii="Times New Roman Bold" w:hAnsi="Times New Roman Bold"/>
          <w:caps w:val="0"/>
          <w:noProof/>
        </w:rPr>
        <w:t>4</w:t>
      </w:r>
      <w:r w:rsidRPr="008A6179">
        <w:rPr>
          <w:rFonts w:ascii="Times New Roman Bold" w:hAnsi="Times New Roman Bold"/>
          <w:caps w:val="0"/>
        </w:rPr>
        <w:fldChar w:fldCharType="end"/>
      </w:r>
      <w:bookmarkEnd w:id="5"/>
      <w:r w:rsidR="007F3A78" w:rsidRPr="008A6179">
        <w:rPr>
          <w:rFonts w:ascii="Times New Roman Bold" w:hAnsi="Times New Roman Bold"/>
          <w:caps w:val="0"/>
          <w:szCs w:val="22"/>
        </w:rPr>
        <w:t>.  Simplified process flow diagram showing the proposed by-product reinjection process.</w:t>
      </w:r>
    </w:p>
    <w:p w:rsidR="00522A83" w:rsidRPr="00522A83" w:rsidRDefault="00522A83" w:rsidP="007F0D8E">
      <w:pPr>
        <w:widowControl w:val="0"/>
        <w:autoSpaceDE w:val="0"/>
        <w:autoSpaceDN w:val="0"/>
        <w:adjustRightInd w:val="0"/>
        <w:spacing w:after="120"/>
        <w:rPr>
          <w:sz w:val="22"/>
          <w:szCs w:val="22"/>
        </w:rPr>
      </w:pPr>
      <w:r w:rsidRPr="00522A83">
        <w:rPr>
          <w:sz w:val="22"/>
          <w:szCs w:val="22"/>
        </w:rPr>
        <w:t>Question 4:</w:t>
      </w:r>
    </w:p>
    <w:p w:rsidR="00522A83" w:rsidRDefault="00522A83" w:rsidP="007F0D8E">
      <w:pPr>
        <w:widowControl w:val="0"/>
        <w:autoSpaceDE w:val="0"/>
        <w:autoSpaceDN w:val="0"/>
        <w:adjustRightInd w:val="0"/>
        <w:spacing w:after="120"/>
        <w:rPr>
          <w:sz w:val="22"/>
          <w:szCs w:val="22"/>
        </w:rPr>
      </w:pPr>
      <w:r w:rsidRPr="00522A83">
        <w:rPr>
          <w:sz w:val="22"/>
          <w:szCs w:val="22"/>
          <w:u w:val="single"/>
        </w:rPr>
        <w:t>Prevention of Mercury Breakthrough or Runaway Mercury Buildup</w:t>
      </w:r>
      <w:r w:rsidRPr="00522A83">
        <w:rPr>
          <w:sz w:val="22"/>
          <w:szCs w:val="22"/>
        </w:rPr>
        <w:t>:  The repeated reintroduction of the same unit of byproduct could potentially lead to an accumulation of mercury in the system.  Please provide information on assuring that a unit of byproduct that is reintroduced to the boilers is not subsequently reintroduced again to the boilers.  This may be as simple as providing a method for assuring that bottom ash and fly ash collected after reintroduction has commenced is segregated from the byproduct that has not yet been reintroduced.</w:t>
      </w:r>
    </w:p>
    <w:p w:rsidR="00522A83" w:rsidRPr="004514BE" w:rsidRDefault="00522A83" w:rsidP="007F0D8E">
      <w:pPr>
        <w:widowControl w:val="0"/>
        <w:autoSpaceDE w:val="0"/>
        <w:autoSpaceDN w:val="0"/>
        <w:adjustRightInd w:val="0"/>
        <w:spacing w:after="120"/>
        <w:rPr>
          <w:color w:val="000000" w:themeColor="text1"/>
          <w:sz w:val="22"/>
          <w:szCs w:val="22"/>
        </w:rPr>
      </w:pPr>
      <w:r w:rsidRPr="004514BE">
        <w:rPr>
          <w:color w:val="000000" w:themeColor="text1"/>
          <w:sz w:val="22"/>
          <w:szCs w:val="22"/>
        </w:rPr>
        <w:t>Response:</w:t>
      </w:r>
    </w:p>
    <w:p w:rsidR="00522A83" w:rsidRPr="00B308B8" w:rsidRDefault="00522A83" w:rsidP="00522A83">
      <w:pPr>
        <w:autoSpaceDE w:val="0"/>
        <w:autoSpaceDN w:val="0"/>
        <w:adjustRightInd w:val="0"/>
        <w:rPr>
          <w:i/>
          <w:color w:val="505050"/>
          <w:sz w:val="22"/>
          <w:szCs w:val="22"/>
        </w:rPr>
      </w:pPr>
      <w:r w:rsidRPr="00B308B8">
        <w:rPr>
          <w:i/>
          <w:color w:val="000000" w:themeColor="text1"/>
          <w:sz w:val="22"/>
          <w:szCs w:val="22"/>
        </w:rPr>
        <w:t xml:space="preserve">We plan to use the existing by-products (known as </w:t>
      </w:r>
      <w:proofErr w:type="spellStart"/>
      <w:r w:rsidRPr="00B308B8">
        <w:rPr>
          <w:i/>
          <w:color w:val="000000" w:themeColor="text1"/>
          <w:sz w:val="22"/>
          <w:szCs w:val="22"/>
        </w:rPr>
        <w:t>EZBase</w:t>
      </w:r>
      <w:proofErr w:type="spellEnd"/>
      <w:r w:rsidRPr="00B308B8">
        <w:rPr>
          <w:i/>
          <w:color w:val="000000" w:themeColor="text1"/>
          <w:sz w:val="22"/>
          <w:szCs w:val="22"/>
        </w:rPr>
        <w:t xml:space="preserve"> or 305 materials), which are a combination of</w:t>
      </w:r>
      <w:r w:rsidR="004514BE" w:rsidRPr="00B308B8">
        <w:rPr>
          <w:i/>
          <w:color w:val="000000" w:themeColor="text1"/>
          <w:sz w:val="22"/>
          <w:szCs w:val="22"/>
        </w:rPr>
        <w:t xml:space="preserve"> </w:t>
      </w:r>
      <w:r w:rsidRPr="00B308B8">
        <w:rPr>
          <w:i/>
          <w:color w:val="000000" w:themeColor="text1"/>
          <w:sz w:val="22"/>
          <w:szCs w:val="22"/>
        </w:rPr>
        <w:t xml:space="preserve">bed ash and fly ash (at a ratio of approximately 40/60) until they are depleted. </w:t>
      </w:r>
      <w:r w:rsidR="008A6179">
        <w:rPr>
          <w:i/>
          <w:color w:val="000000" w:themeColor="text1"/>
          <w:sz w:val="22"/>
          <w:szCs w:val="22"/>
        </w:rPr>
        <w:t xml:space="preserve"> </w:t>
      </w:r>
      <w:r w:rsidRPr="00B308B8">
        <w:rPr>
          <w:i/>
          <w:color w:val="000000" w:themeColor="text1"/>
          <w:sz w:val="22"/>
          <w:szCs w:val="22"/>
        </w:rPr>
        <w:t>However, as shown in</w:t>
      </w:r>
      <w:r w:rsidR="008A6179">
        <w:rPr>
          <w:i/>
          <w:color w:val="000000" w:themeColor="text1"/>
          <w:sz w:val="22"/>
          <w:szCs w:val="22"/>
        </w:rPr>
        <w:t xml:space="preserve"> </w:t>
      </w:r>
      <w:r w:rsidR="008A6179" w:rsidRPr="008A6179">
        <w:rPr>
          <w:b/>
          <w:i/>
          <w:color w:val="000000" w:themeColor="text1"/>
          <w:sz w:val="22"/>
          <w:szCs w:val="22"/>
        </w:rPr>
        <w:fldChar w:fldCharType="begin"/>
      </w:r>
      <w:r w:rsidR="008A6179" w:rsidRPr="008A6179">
        <w:rPr>
          <w:b/>
          <w:i/>
          <w:color w:val="000000" w:themeColor="text1"/>
          <w:sz w:val="22"/>
          <w:szCs w:val="22"/>
        </w:rPr>
        <w:instrText xml:space="preserve"> REF _Ref403726112 \h </w:instrText>
      </w:r>
      <w:r w:rsidR="008A6179" w:rsidRPr="008A6179">
        <w:rPr>
          <w:b/>
          <w:i/>
          <w:color w:val="000000" w:themeColor="text1"/>
          <w:sz w:val="22"/>
          <w:szCs w:val="22"/>
        </w:rPr>
      </w:r>
      <w:r w:rsidR="008A6179" w:rsidRPr="008A6179">
        <w:rPr>
          <w:b/>
          <w:i/>
          <w:color w:val="000000" w:themeColor="text1"/>
          <w:sz w:val="22"/>
          <w:szCs w:val="22"/>
        </w:rPr>
        <w:instrText xml:space="preserve"> \* MERGEFORMAT </w:instrText>
      </w:r>
      <w:r w:rsidR="008A6179" w:rsidRPr="008A6179">
        <w:rPr>
          <w:b/>
          <w:i/>
          <w:color w:val="000000" w:themeColor="text1"/>
          <w:sz w:val="22"/>
          <w:szCs w:val="22"/>
        </w:rPr>
        <w:fldChar w:fldCharType="separate"/>
      </w:r>
      <w:r w:rsidR="008A6179" w:rsidRPr="008A6179">
        <w:rPr>
          <w:b/>
          <w:i/>
          <w:sz w:val="22"/>
          <w:szCs w:val="22"/>
        </w:rPr>
        <w:t xml:space="preserve">Figure </w:t>
      </w:r>
      <w:r w:rsidR="008A6179" w:rsidRPr="008A6179">
        <w:rPr>
          <w:b/>
          <w:i/>
          <w:noProof/>
          <w:sz w:val="22"/>
          <w:szCs w:val="22"/>
        </w:rPr>
        <w:t>4</w:t>
      </w:r>
      <w:r w:rsidR="008A6179" w:rsidRPr="008A6179">
        <w:rPr>
          <w:b/>
          <w:i/>
          <w:color w:val="000000" w:themeColor="text1"/>
          <w:sz w:val="22"/>
          <w:szCs w:val="22"/>
        </w:rPr>
        <w:fldChar w:fldCharType="end"/>
      </w:r>
      <w:r w:rsidRPr="00B308B8">
        <w:rPr>
          <w:i/>
          <w:color w:val="000000" w:themeColor="text1"/>
          <w:sz w:val="22"/>
          <w:szCs w:val="22"/>
        </w:rPr>
        <w:t>, some of the bed ash may be re-injected repeatedly, along with the 305 materials. Our current Title V permit allows re-use of bottom ash or bed ash materials per Condition G.3 (at a design rate of 35 ton</w:t>
      </w:r>
      <w:r w:rsidR="004514BE" w:rsidRPr="00B308B8">
        <w:rPr>
          <w:i/>
          <w:color w:val="000000" w:themeColor="text1"/>
          <w:sz w:val="22"/>
          <w:szCs w:val="22"/>
        </w:rPr>
        <w:t>/</w:t>
      </w:r>
      <w:r w:rsidRPr="00B308B8">
        <w:rPr>
          <w:i/>
          <w:color w:val="000000" w:themeColor="text1"/>
          <w:sz w:val="22"/>
          <w:szCs w:val="22"/>
        </w:rPr>
        <w:t xml:space="preserve">hr for either unit) and we understand that there is no mercury accumulation concern with bed ash reuse. </w:t>
      </w:r>
      <w:r w:rsidR="008A6179">
        <w:rPr>
          <w:i/>
          <w:color w:val="000000" w:themeColor="text1"/>
          <w:sz w:val="22"/>
          <w:szCs w:val="22"/>
        </w:rPr>
        <w:t xml:space="preserve"> </w:t>
      </w:r>
      <w:r w:rsidRPr="00B308B8">
        <w:rPr>
          <w:i/>
          <w:color w:val="000000" w:themeColor="text1"/>
          <w:sz w:val="22"/>
          <w:szCs w:val="22"/>
        </w:rPr>
        <w:t xml:space="preserve">Upon reinjection of the 305 materials, the resulting bed ash may contain some fly ash. </w:t>
      </w:r>
      <w:r w:rsidR="008A6179">
        <w:rPr>
          <w:i/>
          <w:color w:val="000000" w:themeColor="text1"/>
          <w:sz w:val="22"/>
          <w:szCs w:val="22"/>
        </w:rPr>
        <w:t xml:space="preserve"> </w:t>
      </w:r>
      <w:r w:rsidRPr="00B308B8">
        <w:rPr>
          <w:i/>
          <w:color w:val="000000" w:themeColor="text1"/>
          <w:sz w:val="22"/>
          <w:szCs w:val="22"/>
        </w:rPr>
        <w:t>If necessary, we can monitor the mercury content of the bed ash materials from the bed ash silo regularly (e.g. monthly) during the 6-month test period, and submit the results to FDEP.</w:t>
      </w:r>
      <w:r w:rsidRPr="00B308B8">
        <w:rPr>
          <w:i/>
          <w:sz w:val="22"/>
          <w:szCs w:val="22"/>
        </w:rPr>
        <w:br w:type="page"/>
      </w:r>
    </w:p>
    <w:p w:rsidR="00522A83" w:rsidRDefault="008A6179" w:rsidP="008A6179">
      <w:pPr>
        <w:pStyle w:val="Caption"/>
        <w:spacing w:before="0"/>
        <w:jc w:val="center"/>
        <w:rPr>
          <w:szCs w:val="22"/>
        </w:rPr>
      </w:pPr>
      <w:bookmarkStart w:id="6" w:name="_Ref403726224"/>
      <w:r>
        <w:lastRenderedPageBreak/>
        <w:t xml:space="preserve">Table </w:t>
      </w:r>
      <w:r>
        <w:fldChar w:fldCharType="begin"/>
      </w:r>
      <w:r>
        <w:instrText xml:space="preserve"> SEQ Table \* ARABIC </w:instrText>
      </w:r>
      <w:r>
        <w:fldChar w:fldCharType="separate"/>
      </w:r>
      <w:r>
        <w:rPr>
          <w:noProof/>
        </w:rPr>
        <w:t>2</w:t>
      </w:r>
      <w:r>
        <w:fldChar w:fldCharType="end"/>
      </w:r>
      <w:bookmarkEnd w:id="6"/>
      <w:r>
        <w:t xml:space="preserve"> - </w:t>
      </w:r>
      <w:r w:rsidR="00522A83">
        <w:rPr>
          <w:szCs w:val="22"/>
        </w:rPr>
        <w:t>Ash byproduct grab sample chemical analysis.</w:t>
      </w:r>
      <w:r w:rsidR="00C371E2">
        <w:rPr>
          <w:szCs w:val="22"/>
        </w:rPr>
        <w:t xml:space="preserve">  (Measurements marked with a “U” were below the detection limit.)</w:t>
      </w:r>
    </w:p>
    <w:p w:rsidR="00522A83" w:rsidRDefault="00522A83" w:rsidP="008A6179">
      <w:pPr>
        <w:widowControl w:val="0"/>
        <w:autoSpaceDE w:val="0"/>
        <w:autoSpaceDN w:val="0"/>
        <w:adjustRightInd w:val="0"/>
        <w:spacing w:after="120"/>
        <w:jc w:val="center"/>
        <w:rPr>
          <w:sz w:val="22"/>
          <w:szCs w:val="22"/>
        </w:rPr>
      </w:pPr>
      <w:r w:rsidRPr="00522A83">
        <w:rPr>
          <w:noProof/>
          <w:sz w:val="22"/>
          <w:szCs w:val="22"/>
        </w:rPr>
        <w:drawing>
          <wp:inline distT="0" distB="0" distL="0" distR="0">
            <wp:extent cx="5481098" cy="779335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8677" cy="7818350"/>
                    </a:xfrm>
                    <a:prstGeom prst="rect">
                      <a:avLst/>
                    </a:prstGeom>
                    <a:noFill/>
                    <a:ln>
                      <a:noFill/>
                    </a:ln>
                  </pic:spPr>
                </pic:pic>
              </a:graphicData>
            </a:graphic>
          </wp:inline>
        </w:drawing>
      </w:r>
    </w:p>
    <w:p w:rsidR="00594273" w:rsidRDefault="00594273" w:rsidP="007F0D8E">
      <w:pPr>
        <w:widowControl w:val="0"/>
        <w:autoSpaceDE w:val="0"/>
        <w:autoSpaceDN w:val="0"/>
        <w:adjustRightInd w:val="0"/>
        <w:spacing w:after="120"/>
        <w:rPr>
          <w:sz w:val="22"/>
          <w:szCs w:val="22"/>
        </w:rPr>
      </w:pPr>
      <w:r>
        <w:rPr>
          <w:sz w:val="22"/>
          <w:szCs w:val="22"/>
        </w:rPr>
        <w:lastRenderedPageBreak/>
        <w:t>By the test results in</w:t>
      </w:r>
      <w:r w:rsidR="008A6179">
        <w:rPr>
          <w:sz w:val="22"/>
          <w:szCs w:val="22"/>
        </w:rPr>
        <w:t xml:space="preserve"> </w:t>
      </w:r>
      <w:r w:rsidR="008A6179" w:rsidRPr="008A6179">
        <w:rPr>
          <w:b/>
          <w:sz w:val="22"/>
          <w:szCs w:val="22"/>
        </w:rPr>
        <w:fldChar w:fldCharType="begin"/>
      </w:r>
      <w:r w:rsidR="008A6179" w:rsidRPr="008A6179">
        <w:rPr>
          <w:b/>
          <w:sz w:val="22"/>
          <w:szCs w:val="22"/>
        </w:rPr>
        <w:instrText xml:space="preserve"> REF _Ref403726224 \h </w:instrText>
      </w:r>
      <w:r w:rsidR="008A6179" w:rsidRPr="008A6179">
        <w:rPr>
          <w:b/>
          <w:sz w:val="22"/>
          <w:szCs w:val="22"/>
        </w:rPr>
      </w:r>
      <w:r w:rsidR="008A6179" w:rsidRPr="008A6179">
        <w:rPr>
          <w:b/>
          <w:sz w:val="22"/>
          <w:szCs w:val="22"/>
        </w:rPr>
        <w:instrText xml:space="preserve"> \* MERGEFORMAT </w:instrText>
      </w:r>
      <w:r w:rsidR="008A6179" w:rsidRPr="008A6179">
        <w:rPr>
          <w:b/>
          <w:sz w:val="22"/>
          <w:szCs w:val="22"/>
        </w:rPr>
        <w:fldChar w:fldCharType="separate"/>
      </w:r>
      <w:r w:rsidR="008A6179" w:rsidRPr="008A6179">
        <w:rPr>
          <w:b/>
          <w:sz w:val="22"/>
          <w:szCs w:val="22"/>
        </w:rPr>
        <w:t xml:space="preserve">Table </w:t>
      </w:r>
      <w:r w:rsidR="008A6179" w:rsidRPr="008A6179">
        <w:rPr>
          <w:b/>
          <w:noProof/>
          <w:sz w:val="22"/>
          <w:szCs w:val="22"/>
        </w:rPr>
        <w:t>2</w:t>
      </w:r>
      <w:r w:rsidR="008A6179" w:rsidRPr="008A6179">
        <w:rPr>
          <w:b/>
          <w:sz w:val="22"/>
          <w:szCs w:val="22"/>
        </w:rPr>
        <w:fldChar w:fldCharType="end"/>
      </w:r>
      <w:r>
        <w:rPr>
          <w:sz w:val="22"/>
          <w:szCs w:val="22"/>
        </w:rPr>
        <w:t>, the mercury content of the on-site byproduct is approximately 0.05 to 0</w:t>
      </w:r>
      <w:r w:rsidR="00157B23">
        <w:rPr>
          <w:sz w:val="22"/>
          <w:szCs w:val="22"/>
        </w:rPr>
        <w:t xml:space="preserve">.07 parts per million (ppm), which is similar to the mercury content of coal itself (generally between 0.04 and 0.25 ppm, according to a 2001 US Geological Survey </w:t>
      </w:r>
      <w:r w:rsidR="00157B23" w:rsidRPr="00157B23">
        <w:rPr>
          <w:sz w:val="22"/>
          <w:szCs w:val="22"/>
        </w:rPr>
        <w:t>study</w:t>
      </w:r>
      <w:r w:rsidR="00157B23">
        <w:rPr>
          <w:sz w:val="22"/>
          <w:szCs w:val="22"/>
        </w:rPr>
        <w:t xml:space="preserve"> entitled </w:t>
      </w:r>
      <w:hyperlink r:id="rId14" w:history="1">
        <w:r w:rsidR="00157B23" w:rsidRPr="00157B23">
          <w:rPr>
            <w:rStyle w:val="Hyperlink"/>
            <w:sz w:val="22"/>
            <w:szCs w:val="22"/>
          </w:rPr>
          <w:t>“Mercury in U.S. Coal -- Abundance, Distribution, and Modes of Occurrence”</w:t>
        </w:r>
      </w:hyperlink>
      <w:r w:rsidR="00157B23">
        <w:rPr>
          <w:sz w:val="22"/>
          <w:szCs w:val="22"/>
        </w:rPr>
        <w:t xml:space="preserve">).  Table 2 also shows that the byproduct is </w:t>
      </w:r>
      <w:r w:rsidR="00EB1E9B">
        <w:rPr>
          <w:sz w:val="22"/>
          <w:szCs w:val="22"/>
        </w:rPr>
        <w:t>approximately 50% lime (calcium oxide, or CaO)</w:t>
      </w:r>
      <w:r w:rsidR="00157B23">
        <w:rPr>
          <w:sz w:val="22"/>
          <w:szCs w:val="22"/>
        </w:rPr>
        <w:t xml:space="preserve"> by mass, which would indicate that there is indeed available lime to assist in SO</w:t>
      </w:r>
      <w:r w:rsidR="00157B23" w:rsidRPr="00157B23">
        <w:rPr>
          <w:sz w:val="22"/>
          <w:szCs w:val="22"/>
          <w:vertAlign w:val="subscript"/>
        </w:rPr>
        <w:t>2</w:t>
      </w:r>
      <w:r w:rsidR="00157B23">
        <w:rPr>
          <w:sz w:val="22"/>
          <w:szCs w:val="22"/>
        </w:rPr>
        <w:t xml:space="preserve"> emissions control.</w:t>
      </w:r>
    </w:p>
    <w:p w:rsidR="00193F10" w:rsidRDefault="00D56DF0" w:rsidP="007F0D8E">
      <w:pPr>
        <w:widowControl w:val="0"/>
        <w:autoSpaceDE w:val="0"/>
        <w:autoSpaceDN w:val="0"/>
        <w:adjustRightInd w:val="0"/>
        <w:spacing w:after="120"/>
        <w:rPr>
          <w:sz w:val="22"/>
          <w:szCs w:val="22"/>
        </w:rPr>
      </w:pPr>
      <w:r>
        <w:rPr>
          <w:sz w:val="22"/>
          <w:szCs w:val="22"/>
        </w:rPr>
        <w:t xml:space="preserve">No changes in permitted emissions are requested in this application.  </w:t>
      </w:r>
      <w:r w:rsidR="00BF21F0" w:rsidRPr="00BF21F0">
        <w:rPr>
          <w:sz w:val="22"/>
          <w:szCs w:val="22"/>
        </w:rPr>
        <w:t xml:space="preserve">The emissions and emissions units that comprise </w:t>
      </w:r>
      <w:r w:rsidR="004B1C85">
        <w:rPr>
          <w:sz w:val="22"/>
          <w:szCs w:val="22"/>
        </w:rPr>
        <w:t>the NGS/SJRPP facility are summarized in the facility’s Title V operating permit (0310045-039-AV)</w:t>
      </w:r>
      <w:r w:rsidR="00BF21F0" w:rsidRPr="00BF21F0">
        <w:rPr>
          <w:sz w:val="22"/>
          <w:szCs w:val="22"/>
        </w:rPr>
        <w:t>.</w:t>
      </w:r>
      <w:r w:rsidR="004B1C85">
        <w:rPr>
          <w:sz w:val="22"/>
          <w:szCs w:val="22"/>
        </w:rPr>
        <w:t xml:space="preserve">  This project is expected to have a minimal impact on emissions from NGS.  </w:t>
      </w:r>
      <w:r w:rsidR="00990538">
        <w:rPr>
          <w:sz w:val="22"/>
          <w:szCs w:val="22"/>
        </w:rPr>
        <w:t>This project will allow JEA to assess the effectiveness of byproduct reintroduction as a control strategy for SO</w:t>
      </w:r>
      <w:r w:rsidR="00990538" w:rsidRPr="00990538">
        <w:rPr>
          <w:sz w:val="22"/>
          <w:szCs w:val="22"/>
          <w:vertAlign w:val="subscript"/>
        </w:rPr>
        <w:t>2</w:t>
      </w:r>
      <w:r w:rsidR="00990538">
        <w:rPr>
          <w:sz w:val="22"/>
          <w:szCs w:val="22"/>
        </w:rPr>
        <w:t xml:space="preserve">.  </w:t>
      </w:r>
      <w:r w:rsidR="004B1C85">
        <w:rPr>
          <w:sz w:val="22"/>
          <w:szCs w:val="22"/>
        </w:rPr>
        <w:t xml:space="preserve">Mercury emissions should be only minimally affected by the </w:t>
      </w:r>
      <w:r w:rsidR="00433B3C">
        <w:rPr>
          <w:sz w:val="22"/>
          <w:szCs w:val="22"/>
        </w:rPr>
        <w:t xml:space="preserve">one-time reuse of </w:t>
      </w:r>
      <w:r w:rsidR="005B7D3D">
        <w:rPr>
          <w:sz w:val="22"/>
          <w:szCs w:val="22"/>
        </w:rPr>
        <w:t>fly ash</w:t>
      </w:r>
      <w:r w:rsidR="00433B3C">
        <w:rPr>
          <w:sz w:val="22"/>
          <w:szCs w:val="22"/>
        </w:rPr>
        <w:t xml:space="preserve"> in Units 1 and 2.  If appreciable changes in emissions do occur, they will be quantified by the Method 30B tests for mercury, or by the CEMS for SO</w:t>
      </w:r>
      <w:r w:rsidR="00433B3C" w:rsidRPr="00433B3C">
        <w:rPr>
          <w:sz w:val="22"/>
          <w:szCs w:val="22"/>
          <w:vertAlign w:val="subscript"/>
        </w:rPr>
        <w:t>2</w:t>
      </w:r>
      <w:r w:rsidR="00433B3C">
        <w:rPr>
          <w:sz w:val="22"/>
          <w:szCs w:val="22"/>
        </w:rPr>
        <w:t>, NO</w:t>
      </w:r>
      <w:r w:rsidR="00433B3C" w:rsidRPr="00433B3C">
        <w:rPr>
          <w:sz w:val="22"/>
          <w:szCs w:val="22"/>
          <w:vertAlign w:val="subscript"/>
        </w:rPr>
        <w:t>x</w:t>
      </w:r>
      <w:r w:rsidR="00433B3C">
        <w:rPr>
          <w:sz w:val="22"/>
          <w:szCs w:val="22"/>
        </w:rPr>
        <w:t xml:space="preserve">, or CO.  This project should have </w:t>
      </w:r>
      <w:r w:rsidR="00C3163A">
        <w:rPr>
          <w:sz w:val="22"/>
          <w:szCs w:val="22"/>
        </w:rPr>
        <w:t>almost no</w:t>
      </w:r>
      <w:r w:rsidR="00433B3C">
        <w:rPr>
          <w:sz w:val="22"/>
          <w:szCs w:val="22"/>
        </w:rPr>
        <w:t xml:space="preserve"> impact on emissions from NGS, while potentially enabling decreased use of limestone for SO</w:t>
      </w:r>
      <w:r w:rsidR="00433B3C" w:rsidRPr="00433B3C">
        <w:rPr>
          <w:sz w:val="22"/>
          <w:szCs w:val="22"/>
          <w:vertAlign w:val="subscript"/>
        </w:rPr>
        <w:t>2</w:t>
      </w:r>
      <w:r w:rsidR="00433B3C">
        <w:rPr>
          <w:sz w:val="22"/>
          <w:szCs w:val="22"/>
        </w:rPr>
        <w:t xml:space="preserve"> control.  Monthly tests for mercury content in fly ash and bottom ash grab samples will provide information on the accumulation of mercury in fly ash and bottom ash, which may be necessary if JEA plans to resume the reintroduction of byproducts into the boilers after the completion of this project.</w:t>
      </w:r>
    </w:p>
    <w:p w:rsidR="00193F10" w:rsidRPr="000B4B28" w:rsidRDefault="00193F10" w:rsidP="00D22D20">
      <w:pPr>
        <w:pStyle w:val="ListParagraph"/>
        <w:numPr>
          <w:ilvl w:val="0"/>
          <w:numId w:val="13"/>
        </w:numPr>
        <w:spacing w:after="120"/>
        <w:ind w:left="720" w:hanging="720"/>
        <w:contextualSpacing w:val="0"/>
        <w:rPr>
          <w:b/>
          <w:caps/>
          <w:sz w:val="22"/>
        </w:rPr>
      </w:pPr>
      <w:r w:rsidRPr="000B4B28">
        <w:rPr>
          <w:b/>
          <w:caps/>
          <w:sz w:val="22"/>
        </w:rPr>
        <w:t>Preliminary Determination</w:t>
      </w:r>
    </w:p>
    <w:p w:rsidR="00193F10" w:rsidRDefault="00193F10" w:rsidP="004D1D9F">
      <w:pPr>
        <w:widowControl w:val="0"/>
        <w:spacing w:after="120"/>
        <w:rPr>
          <w:sz w:val="22"/>
        </w:rPr>
      </w:pPr>
      <w:r>
        <w:rPr>
          <w:sz w:val="22"/>
        </w:rPr>
        <w:t xml:space="preserve">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w:t>
      </w:r>
      <w:r w:rsidRPr="002A28C2">
        <w:rPr>
          <w:sz w:val="22"/>
        </w:rPr>
        <w:t xml:space="preserve">No air quality modeling analysis is required because the project does not result in a significant increase in emissions.  </w:t>
      </w:r>
      <w:r w:rsidR="00011EAB">
        <w:rPr>
          <w:sz w:val="22"/>
        </w:rPr>
        <w:t>John Dawson</w:t>
      </w:r>
      <w:r>
        <w:rPr>
          <w:sz w:val="22"/>
        </w:rPr>
        <w:t xml:space="preserve"> is </w:t>
      </w:r>
      <w:r w:rsidRPr="007F0D8E">
        <w:rPr>
          <w:sz w:val="22"/>
        </w:rPr>
        <w:t>the project engineer</w:t>
      </w:r>
      <w:r>
        <w:rPr>
          <w:sz w:val="22"/>
        </w:rPr>
        <w:t xml:space="preserve"> responsible for reviewing the application and drafting the permit.  Additional details of this analysis ma</w:t>
      </w:r>
      <w:r w:rsidR="00011EAB">
        <w:rPr>
          <w:sz w:val="22"/>
        </w:rPr>
        <w:t>y be obtained by contacting him by telephone at 850-717-9085</w:t>
      </w:r>
      <w:r w:rsidR="00AF1A46">
        <w:rPr>
          <w:sz w:val="22"/>
        </w:rPr>
        <w:t xml:space="preserve">, </w:t>
      </w:r>
      <w:r w:rsidR="00011EAB">
        <w:rPr>
          <w:sz w:val="22"/>
        </w:rPr>
        <w:t xml:space="preserve">by e-mail at </w:t>
      </w:r>
      <w:hyperlink r:id="rId15" w:history="1">
        <w:r w:rsidR="00011EAB" w:rsidRPr="00B345FB">
          <w:rPr>
            <w:rStyle w:val="Hyperlink"/>
            <w:sz w:val="22"/>
          </w:rPr>
          <w:t>john.dawson@dep.state.fl.us</w:t>
        </w:r>
      </w:hyperlink>
      <w:r w:rsidR="00AF1A46">
        <w:rPr>
          <w:sz w:val="22"/>
        </w:rPr>
        <w:t>, or at</w:t>
      </w:r>
      <w:r>
        <w:rPr>
          <w:sz w:val="22"/>
        </w:rPr>
        <w:t xml:space="preserve"> the Department’s </w:t>
      </w:r>
      <w:r w:rsidR="009F6095">
        <w:rPr>
          <w:sz w:val="22"/>
        </w:rPr>
        <w:t>Office of Permitting and Compliance</w:t>
      </w:r>
      <w:r>
        <w:rPr>
          <w:sz w:val="22"/>
        </w:rPr>
        <w:t xml:space="preserve"> at Mail Station #5505, 2600 Blair Stone Road, Tallahassee, Florida  32399-2400.</w:t>
      </w:r>
    </w:p>
    <w:sectPr w:rsidR="00193F10" w:rsidSect="00762891">
      <w:headerReference w:type="default" r:id="rId16"/>
      <w:footerReference w:type="default" r:id="rId17"/>
      <w:headerReference w:type="first" r:id="rId18"/>
      <w:footerReference w:type="first" r:id="rId19"/>
      <w:pgSz w:w="12240" w:h="15840" w:code="1"/>
      <w:pgMar w:top="720" w:right="1080" w:bottom="720" w:left="1080" w:header="720" w:footer="432" w:gutter="0"/>
      <w:paperSrc w:first="15" w:other="15"/>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044B" w:rsidRDefault="0066044B">
      <w:r>
        <w:separator/>
      </w:r>
    </w:p>
  </w:endnote>
  <w:endnote w:type="continuationSeparator" w:id="0">
    <w:p w:rsidR="0066044B" w:rsidRDefault="00660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imes New Roman Bold">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entury Schoolbook">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Pr="00DE629C" w:rsidRDefault="00FD0B47" w:rsidP="00DE629C">
    <w:pPr>
      <w:pBdr>
        <w:top w:val="single" w:sz="6" w:space="1" w:color="auto"/>
      </w:pBdr>
      <w:tabs>
        <w:tab w:val="right" w:pos="10080"/>
      </w:tabs>
      <w:spacing w:before="240"/>
      <w:rPr>
        <w:rStyle w:val="PageNumber"/>
        <w:highlight w:val="yellow"/>
      </w:rPr>
    </w:pPr>
    <w:r>
      <w:t>JEA Northside Generating Station</w:t>
    </w:r>
    <w:r w:rsidR="00461B52" w:rsidRPr="00DE629C">
      <w:rPr>
        <w:rStyle w:val="PageNumber"/>
      </w:rPr>
      <w:tab/>
      <w:t xml:space="preserve">Project No. </w:t>
    </w:r>
    <w:r>
      <w:rPr>
        <w:rStyle w:val="PageNumber"/>
      </w:rPr>
      <w:t>0310045</w:t>
    </w:r>
    <w:r w:rsidR="00591C30" w:rsidRPr="00DE629C">
      <w:rPr>
        <w:rStyle w:val="PageNumber"/>
      </w:rPr>
      <w:t>-0</w:t>
    </w:r>
    <w:r>
      <w:rPr>
        <w:rStyle w:val="PageNumber"/>
      </w:rPr>
      <w:t>40</w:t>
    </w:r>
    <w:r w:rsidR="00461B52" w:rsidRPr="00DE629C">
      <w:rPr>
        <w:rStyle w:val="PageNumber"/>
      </w:rPr>
      <w:t>-AC</w:t>
    </w:r>
  </w:p>
  <w:p w:rsidR="00461B52" w:rsidRPr="00DE629C" w:rsidRDefault="00586F13" w:rsidP="00DE629C">
    <w:pPr>
      <w:pBdr>
        <w:top w:val="single" w:sz="6" w:space="1" w:color="auto"/>
      </w:pBdr>
      <w:tabs>
        <w:tab w:val="right" w:pos="10080"/>
      </w:tabs>
      <w:rPr>
        <w:rStyle w:val="PageNumber"/>
      </w:rPr>
    </w:pPr>
    <w:r>
      <w:t>Byp</w:t>
    </w:r>
    <w:r w:rsidR="00FD0B47">
      <w:t>roduct Reintroduction Project</w:t>
    </w:r>
    <w:r w:rsidR="00461B52" w:rsidRPr="00DE629C">
      <w:rPr>
        <w:rStyle w:val="PageNumber"/>
      </w:rPr>
      <w:tab/>
      <w:t>Minor Air Construction Permit</w:t>
    </w:r>
  </w:p>
  <w:p w:rsidR="00461B52" w:rsidRDefault="00461B52">
    <w:pPr>
      <w:pStyle w:val="Footer"/>
      <w:tabs>
        <w:tab w:val="clear" w:pos="4320"/>
        <w:tab w:val="clear" w:pos="8640"/>
      </w:tabs>
      <w:jc w:val="center"/>
    </w:pPr>
    <w:r>
      <w:rPr>
        <w:rStyle w:val="PageNumber"/>
      </w:rPr>
      <w:t xml:space="preserve">Page </w:t>
    </w:r>
    <w:r w:rsidR="00F35406">
      <w:rPr>
        <w:rStyle w:val="PageNumber"/>
      </w:rPr>
      <w:fldChar w:fldCharType="begin"/>
    </w:r>
    <w:r>
      <w:rPr>
        <w:rStyle w:val="PageNumber"/>
      </w:rPr>
      <w:instrText xml:space="preserve"> PAGE </w:instrText>
    </w:r>
    <w:r w:rsidR="00F35406">
      <w:rPr>
        <w:rStyle w:val="PageNumber"/>
      </w:rPr>
      <w:fldChar w:fldCharType="separate"/>
    </w:r>
    <w:r w:rsidR="003F6D33">
      <w:rPr>
        <w:rStyle w:val="PageNumber"/>
        <w:noProof/>
      </w:rPr>
      <w:t>9</w:t>
    </w:r>
    <w:r w:rsidR="00F35406">
      <w:rPr>
        <w:rStyle w:val="PageNumber"/>
      </w:rPr>
      <w:fldChar w:fldCharType="end"/>
    </w:r>
    <w:r w:rsidR="009725FD">
      <w:rPr>
        <w:rStyle w:val="PageNumber"/>
      </w:rPr>
      <w:t xml:space="preserve"> of 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044B" w:rsidRDefault="0066044B">
      <w:r>
        <w:separator/>
      </w:r>
    </w:p>
  </w:footnote>
  <w:footnote w:type="continuationSeparator" w:id="0">
    <w:p w:rsidR="0066044B" w:rsidRDefault="0066044B">
      <w:r>
        <w:continuationSeparator/>
      </w:r>
    </w:p>
  </w:footnote>
  <w:footnote w:id="1">
    <w:p w:rsidR="00A707D8" w:rsidRPr="00DA15D2" w:rsidRDefault="00A707D8" w:rsidP="00A707D8">
      <w:pPr>
        <w:pStyle w:val="FootnoteText"/>
        <w:tabs>
          <w:tab w:val="left" w:pos="360"/>
        </w:tabs>
        <w:ind w:left="360" w:hanging="360"/>
      </w:pPr>
      <w:r w:rsidRPr="00DA15D2">
        <w:rPr>
          <w:rStyle w:val="FootnoteReference"/>
        </w:rPr>
        <w:footnoteRef/>
      </w:r>
      <w:r w:rsidRPr="00DA15D2">
        <w:t xml:space="preserve"> </w:t>
      </w:r>
      <w:r>
        <w:tab/>
      </w:r>
      <w:r w:rsidRPr="00DA15D2">
        <w:rPr>
          <w:rFonts w:eastAsia="Calibri"/>
        </w:rPr>
        <w:t xml:space="preserve">In making this calculation, the </w:t>
      </w:r>
      <w:r w:rsidRPr="00DA15D2">
        <w:t>values listed in 40 CFR 98, Subpart A, Table A-1 are used to weight emissions by their respective Global Warming Potential (GWP).  For example, the current GWP factors for four of the GHGs are:  CO</w:t>
      </w:r>
      <w:r w:rsidRPr="00DA15D2">
        <w:rPr>
          <w:vertAlign w:val="subscript"/>
        </w:rPr>
        <w:t>2</w:t>
      </w:r>
      <w:r w:rsidRPr="00DA15D2">
        <w:t xml:space="preserve"> = 1; CH</w:t>
      </w:r>
      <w:r w:rsidRPr="00DA15D2">
        <w:rPr>
          <w:vertAlign w:val="subscript"/>
        </w:rPr>
        <w:t>4</w:t>
      </w:r>
      <w:r w:rsidRPr="00DA15D2">
        <w:t xml:space="preserve"> = 25; N</w:t>
      </w:r>
      <w:r w:rsidRPr="00DA15D2">
        <w:rPr>
          <w:vertAlign w:val="subscript"/>
        </w:rPr>
        <w:t>2</w:t>
      </w:r>
      <w:r w:rsidRPr="00DA15D2">
        <w:t>O = 298 and SF</w:t>
      </w:r>
      <w:r w:rsidRPr="00DA15D2">
        <w:rPr>
          <w:vertAlign w:val="subscript"/>
        </w:rPr>
        <w:t>6</w:t>
      </w:r>
      <w:r w:rsidRPr="00DA15D2">
        <w:t xml:space="preserve"> = 22,800.  </w:t>
      </w:r>
    </w:p>
  </w:footnote>
  <w:footnote w:id="2">
    <w:p w:rsidR="00A707D8" w:rsidRPr="00FF36B4" w:rsidRDefault="00A707D8" w:rsidP="00A707D8">
      <w:pPr>
        <w:pStyle w:val="FootnoteText"/>
        <w:tabs>
          <w:tab w:val="left" w:pos="360"/>
        </w:tabs>
        <w:ind w:left="360" w:hanging="360"/>
        <w:rPr>
          <w:rFonts w:eastAsia="Calibri"/>
        </w:rPr>
      </w:pPr>
      <w:r w:rsidRPr="00FF36B4">
        <w:rPr>
          <w:rStyle w:val="FootnoteReference"/>
        </w:rPr>
        <w:footnoteRef/>
      </w:r>
      <w:r w:rsidRPr="00FF36B4">
        <w:t xml:space="preserve"> </w:t>
      </w:r>
      <w:r w:rsidRPr="00FF36B4">
        <w:tab/>
      </w:r>
      <w:r w:rsidRPr="00FF36B4">
        <w:rPr>
          <w:rFonts w:eastAsia="Calibri"/>
        </w:rPr>
        <w:t xml:space="preserve">This procedure was held to be invalid at the federal level due to a </w:t>
      </w:r>
      <w:r>
        <w:rPr>
          <w:rFonts w:eastAsia="Calibri"/>
        </w:rPr>
        <w:t xml:space="preserve">U.S. </w:t>
      </w:r>
      <w:r w:rsidRPr="00FF36B4">
        <w:rPr>
          <w:rFonts w:eastAsia="Calibri"/>
        </w:rPr>
        <w:t>Supreme Court opinion dated June</w:t>
      </w:r>
      <w:r>
        <w:rPr>
          <w:rFonts w:eastAsia="Calibri"/>
        </w:rPr>
        <w:t xml:space="preserve"> </w:t>
      </w:r>
      <w:r w:rsidRPr="00FF36B4">
        <w:rPr>
          <w:rFonts w:eastAsia="Calibri"/>
        </w:rPr>
        <w:t xml:space="preserve">23, 2014.  </w:t>
      </w:r>
      <w:r>
        <w:rPr>
          <w:rFonts w:eastAsia="Calibri"/>
        </w:rPr>
        <w:br/>
      </w:r>
      <w:hyperlink r:id="rId1" w:history="1">
        <w:r w:rsidR="00285FB2">
          <w:rPr>
            <w:rStyle w:val="Hyperlink"/>
            <w:rFonts w:cs="Century Schoolbook"/>
          </w:rPr>
          <w:t>Link to S</w:t>
        </w:r>
        <w:r w:rsidRPr="00FF36B4">
          <w:rPr>
            <w:rStyle w:val="Hyperlink"/>
            <w:rFonts w:cs="Century Schoolbook"/>
          </w:rPr>
          <w:t>upreme Court Opinion</w:t>
        </w:r>
      </w:hyperlink>
      <w:r>
        <w:t xml:space="preserve">  </w:t>
      </w:r>
      <w:r w:rsidRPr="00FF36B4">
        <w:rPr>
          <w:rFonts w:eastAsia="Calibri"/>
        </w:rPr>
        <w:t xml:space="preserve">The Department is reviewing the </w:t>
      </w:r>
      <w:r>
        <w:rPr>
          <w:rFonts w:eastAsia="Calibri"/>
        </w:rPr>
        <w:t xml:space="preserve">effects </w:t>
      </w:r>
      <w:r w:rsidRPr="00FF36B4">
        <w:rPr>
          <w:rFonts w:eastAsia="Calibri"/>
        </w:rPr>
        <w:t xml:space="preserve">of the decision on its own rules.  </w:t>
      </w:r>
      <w:r w:rsidR="00285FB2">
        <w:rPr>
          <w:rFonts w:eastAsia="Calibri"/>
        </w:rPr>
        <w:t xml:space="preserve">EPA issued guidance regarding implementation of the decision on July 24, 2014.  </w:t>
      </w:r>
      <w:hyperlink r:id="rId2" w:history="1">
        <w:r w:rsidR="00285FB2">
          <w:rPr>
            <w:rStyle w:val="Hyperlink"/>
            <w:rFonts w:eastAsia="Calibri"/>
          </w:rPr>
          <w:t>Link to EPA Guidance</w:t>
        </w:r>
      </w:hyperlink>
      <w:r w:rsidR="00285FB2">
        <w:rPr>
          <w:rFonts w:eastAsia="Calibri"/>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A6AE7"/>
    <w:multiLevelType w:val="multilevel"/>
    <w:tmpl w:val="CCC2BA5A"/>
    <w:lvl w:ilvl="0">
      <w:start w:val="1"/>
      <w:numFmt w:val="decimal"/>
      <w:lvlText w:val="%1."/>
      <w:lvlJc w:val="left"/>
      <w:pPr>
        <w:ind w:left="119" w:hanging="202"/>
      </w:pPr>
      <w:rPr>
        <w:rFonts w:hint="default"/>
        <w:b w:val="0"/>
        <w:bCs w:val="0"/>
        <w:i w:val="0"/>
        <w:spacing w:val="1"/>
        <w:w w:val="99"/>
        <w:sz w:val="22"/>
        <w:szCs w:val="20"/>
      </w:rPr>
    </w:lvl>
    <w:lvl w:ilvl="1">
      <w:start w:val="1"/>
      <w:numFmt w:val="lowerLetter"/>
      <w:lvlText w:val="%2."/>
      <w:lvlJc w:val="left"/>
      <w:pPr>
        <w:ind w:left="119" w:hanging="200"/>
      </w:pPr>
      <w:rPr>
        <w:rFonts w:ascii="Times New Roman" w:hAnsi="Times New Roman" w:cs="Times New Roman"/>
        <w:b w:val="0"/>
        <w:bCs w:val="0"/>
        <w:w w:val="99"/>
        <w:sz w:val="20"/>
        <w:szCs w:val="20"/>
      </w:rPr>
    </w:lvl>
    <w:lvl w:ilvl="2">
      <w:numFmt w:val="bullet"/>
      <w:lvlText w:val="•"/>
      <w:lvlJc w:val="left"/>
      <w:pPr>
        <w:ind w:left="1173" w:hanging="200"/>
      </w:pPr>
    </w:lvl>
    <w:lvl w:ilvl="3">
      <w:numFmt w:val="bullet"/>
      <w:lvlText w:val="•"/>
      <w:lvlJc w:val="left"/>
      <w:pPr>
        <w:ind w:left="2226" w:hanging="200"/>
      </w:pPr>
    </w:lvl>
    <w:lvl w:ilvl="4">
      <w:numFmt w:val="bullet"/>
      <w:lvlText w:val="•"/>
      <w:lvlJc w:val="left"/>
      <w:pPr>
        <w:ind w:left="3279" w:hanging="200"/>
      </w:pPr>
    </w:lvl>
    <w:lvl w:ilvl="5">
      <w:numFmt w:val="bullet"/>
      <w:lvlText w:val="•"/>
      <w:lvlJc w:val="left"/>
      <w:pPr>
        <w:ind w:left="4333" w:hanging="200"/>
      </w:pPr>
    </w:lvl>
    <w:lvl w:ilvl="6">
      <w:numFmt w:val="bullet"/>
      <w:lvlText w:val="•"/>
      <w:lvlJc w:val="left"/>
      <w:pPr>
        <w:ind w:left="5386" w:hanging="200"/>
      </w:pPr>
    </w:lvl>
    <w:lvl w:ilvl="7">
      <w:numFmt w:val="bullet"/>
      <w:lvlText w:val="•"/>
      <w:lvlJc w:val="left"/>
      <w:pPr>
        <w:ind w:left="6439" w:hanging="200"/>
      </w:pPr>
    </w:lvl>
    <w:lvl w:ilvl="8">
      <w:numFmt w:val="bullet"/>
      <w:lvlText w:val="•"/>
      <w:lvlJc w:val="left"/>
      <w:pPr>
        <w:ind w:left="7493" w:hanging="200"/>
      </w:pPr>
    </w:lvl>
  </w:abstractNum>
  <w:abstractNum w:abstractNumId="1">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A243754"/>
    <w:multiLevelType w:val="hybridMultilevel"/>
    <w:tmpl w:val="07F6C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405CFE"/>
    <w:multiLevelType w:val="hybridMultilevel"/>
    <w:tmpl w:val="83968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355717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39AE1A46"/>
    <w:multiLevelType w:val="hybridMultilevel"/>
    <w:tmpl w:val="6622BA06"/>
    <w:lvl w:ilvl="0" w:tplc="C4523854">
      <w:start w:val="1"/>
      <w:numFmt w:val="lowerLetter"/>
      <w:lvlText w:val="(%1)"/>
      <w:lvlJc w:val="left"/>
      <w:pPr>
        <w:ind w:left="1693" w:hanging="360"/>
      </w:pPr>
      <w:rPr>
        <w:rFonts w:hint="default"/>
      </w:rPr>
    </w:lvl>
    <w:lvl w:ilvl="1" w:tplc="04090019" w:tentative="1">
      <w:start w:val="1"/>
      <w:numFmt w:val="lowerLetter"/>
      <w:lvlText w:val="%2."/>
      <w:lvlJc w:val="left"/>
      <w:pPr>
        <w:ind w:left="2413" w:hanging="360"/>
      </w:pPr>
    </w:lvl>
    <w:lvl w:ilvl="2" w:tplc="0409001B" w:tentative="1">
      <w:start w:val="1"/>
      <w:numFmt w:val="lowerRoman"/>
      <w:lvlText w:val="%3."/>
      <w:lvlJc w:val="right"/>
      <w:pPr>
        <w:ind w:left="3133" w:hanging="180"/>
      </w:pPr>
    </w:lvl>
    <w:lvl w:ilvl="3" w:tplc="0409000F" w:tentative="1">
      <w:start w:val="1"/>
      <w:numFmt w:val="decimal"/>
      <w:lvlText w:val="%4."/>
      <w:lvlJc w:val="left"/>
      <w:pPr>
        <w:ind w:left="3853" w:hanging="360"/>
      </w:pPr>
    </w:lvl>
    <w:lvl w:ilvl="4" w:tplc="04090019" w:tentative="1">
      <w:start w:val="1"/>
      <w:numFmt w:val="lowerLetter"/>
      <w:lvlText w:val="%5."/>
      <w:lvlJc w:val="left"/>
      <w:pPr>
        <w:ind w:left="4573" w:hanging="360"/>
      </w:pPr>
    </w:lvl>
    <w:lvl w:ilvl="5" w:tplc="0409001B" w:tentative="1">
      <w:start w:val="1"/>
      <w:numFmt w:val="lowerRoman"/>
      <w:lvlText w:val="%6."/>
      <w:lvlJc w:val="right"/>
      <w:pPr>
        <w:ind w:left="5293" w:hanging="180"/>
      </w:pPr>
    </w:lvl>
    <w:lvl w:ilvl="6" w:tplc="0409000F" w:tentative="1">
      <w:start w:val="1"/>
      <w:numFmt w:val="decimal"/>
      <w:lvlText w:val="%7."/>
      <w:lvlJc w:val="left"/>
      <w:pPr>
        <w:ind w:left="6013" w:hanging="360"/>
      </w:pPr>
    </w:lvl>
    <w:lvl w:ilvl="7" w:tplc="04090019" w:tentative="1">
      <w:start w:val="1"/>
      <w:numFmt w:val="lowerLetter"/>
      <w:lvlText w:val="%8."/>
      <w:lvlJc w:val="left"/>
      <w:pPr>
        <w:ind w:left="6733" w:hanging="360"/>
      </w:pPr>
    </w:lvl>
    <w:lvl w:ilvl="8" w:tplc="0409001B" w:tentative="1">
      <w:start w:val="1"/>
      <w:numFmt w:val="lowerRoman"/>
      <w:lvlText w:val="%9."/>
      <w:lvlJc w:val="right"/>
      <w:pPr>
        <w:ind w:left="7453" w:hanging="180"/>
      </w:pPr>
    </w:lvl>
  </w:abstractNum>
  <w:abstractNum w:abstractNumId="7">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8">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AF613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6B8D5008"/>
    <w:multiLevelType w:val="singleLevel"/>
    <w:tmpl w:val="0409000F"/>
    <w:lvl w:ilvl="0">
      <w:start w:val="1"/>
      <w:numFmt w:val="decimal"/>
      <w:lvlText w:val="%1."/>
      <w:lvlJc w:val="left"/>
      <w:pPr>
        <w:tabs>
          <w:tab w:val="num" w:pos="360"/>
        </w:tabs>
        <w:ind w:left="360" w:hanging="360"/>
      </w:pPr>
    </w:lvl>
  </w:abstractNum>
  <w:abstractNum w:abstractNumId="11">
    <w:nsid w:val="74035BF5"/>
    <w:multiLevelType w:val="hybridMultilevel"/>
    <w:tmpl w:val="6C9ACD4C"/>
    <w:lvl w:ilvl="0" w:tplc="71AEA8C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7"/>
  </w:num>
  <w:num w:numId="2">
    <w:abstractNumId w:val="13"/>
  </w:num>
  <w:num w:numId="3">
    <w:abstractNumId w:val="1"/>
  </w:num>
  <w:num w:numId="4">
    <w:abstractNumId w:val="4"/>
  </w:num>
  <w:num w:numId="5">
    <w:abstractNumId w:val="8"/>
  </w:num>
  <w:num w:numId="6">
    <w:abstractNumId w:val="11"/>
  </w:num>
  <w:num w:numId="7">
    <w:abstractNumId w:val="9"/>
  </w:num>
  <w:num w:numId="8">
    <w:abstractNumId w:val="12"/>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num>
  <w:num w:numId="11">
    <w:abstractNumId w:val="0"/>
  </w:num>
  <w:num w:numId="12">
    <w:abstractNumId w:val="10"/>
  </w:num>
  <w:num w:numId="13">
    <w:abstractNumId w:val="5"/>
  </w:num>
  <w:num w:numId="14">
    <w:abstractNumId w:val="2"/>
  </w:num>
  <w:num w:numId="15">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522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11EAB"/>
    <w:rsid w:val="00025BCB"/>
    <w:rsid w:val="0005338D"/>
    <w:rsid w:val="00060D5C"/>
    <w:rsid w:val="000B2153"/>
    <w:rsid w:val="000B3948"/>
    <w:rsid w:val="000B4B28"/>
    <w:rsid w:val="000C44A7"/>
    <w:rsid w:val="000C5143"/>
    <w:rsid w:val="000E42D3"/>
    <w:rsid w:val="00111453"/>
    <w:rsid w:val="0011707F"/>
    <w:rsid w:val="00135223"/>
    <w:rsid w:val="00140CD4"/>
    <w:rsid w:val="00157B23"/>
    <w:rsid w:val="001771DC"/>
    <w:rsid w:val="00193F10"/>
    <w:rsid w:val="00194AA6"/>
    <w:rsid w:val="001C4E37"/>
    <w:rsid w:val="001D1649"/>
    <w:rsid w:val="001D487F"/>
    <w:rsid w:val="001E2CD6"/>
    <w:rsid w:val="001E59E0"/>
    <w:rsid w:val="001F7D3E"/>
    <w:rsid w:val="00201860"/>
    <w:rsid w:val="002146EA"/>
    <w:rsid w:val="00215860"/>
    <w:rsid w:val="002225DD"/>
    <w:rsid w:val="00242B7B"/>
    <w:rsid w:val="00285FB2"/>
    <w:rsid w:val="002A28C2"/>
    <w:rsid w:val="002F05D5"/>
    <w:rsid w:val="002F06F3"/>
    <w:rsid w:val="002F0E6E"/>
    <w:rsid w:val="00302267"/>
    <w:rsid w:val="00312095"/>
    <w:rsid w:val="003220BF"/>
    <w:rsid w:val="0033363A"/>
    <w:rsid w:val="00346552"/>
    <w:rsid w:val="00362109"/>
    <w:rsid w:val="00362B27"/>
    <w:rsid w:val="003858DE"/>
    <w:rsid w:val="0039482F"/>
    <w:rsid w:val="003A2979"/>
    <w:rsid w:val="003A3C29"/>
    <w:rsid w:val="003B1E0A"/>
    <w:rsid w:val="003C69DC"/>
    <w:rsid w:val="003D5A4E"/>
    <w:rsid w:val="003E1FB8"/>
    <w:rsid w:val="003E683A"/>
    <w:rsid w:val="003F1AFB"/>
    <w:rsid w:val="003F6D33"/>
    <w:rsid w:val="00402247"/>
    <w:rsid w:val="0040283C"/>
    <w:rsid w:val="00404E42"/>
    <w:rsid w:val="0043123B"/>
    <w:rsid w:val="00433B3C"/>
    <w:rsid w:val="004414F2"/>
    <w:rsid w:val="00446FE7"/>
    <w:rsid w:val="004514BE"/>
    <w:rsid w:val="00461B52"/>
    <w:rsid w:val="00494290"/>
    <w:rsid w:val="004B1C85"/>
    <w:rsid w:val="004B5185"/>
    <w:rsid w:val="004C0984"/>
    <w:rsid w:val="004D1D9F"/>
    <w:rsid w:val="004E48C8"/>
    <w:rsid w:val="00522A83"/>
    <w:rsid w:val="00567DF4"/>
    <w:rsid w:val="00581C7F"/>
    <w:rsid w:val="00586F13"/>
    <w:rsid w:val="00591C30"/>
    <w:rsid w:val="00594273"/>
    <w:rsid w:val="005B293C"/>
    <w:rsid w:val="005B7D3D"/>
    <w:rsid w:val="005E36E4"/>
    <w:rsid w:val="0060307F"/>
    <w:rsid w:val="006060BC"/>
    <w:rsid w:val="00610D85"/>
    <w:rsid w:val="006141F0"/>
    <w:rsid w:val="00617209"/>
    <w:rsid w:val="00634F21"/>
    <w:rsid w:val="0064448E"/>
    <w:rsid w:val="0065214A"/>
    <w:rsid w:val="0066044B"/>
    <w:rsid w:val="006637B8"/>
    <w:rsid w:val="00676A8C"/>
    <w:rsid w:val="00684184"/>
    <w:rsid w:val="00686486"/>
    <w:rsid w:val="006B6EFE"/>
    <w:rsid w:val="00701FEF"/>
    <w:rsid w:val="00703553"/>
    <w:rsid w:val="00741F1A"/>
    <w:rsid w:val="00754403"/>
    <w:rsid w:val="00762891"/>
    <w:rsid w:val="00762E18"/>
    <w:rsid w:val="007747AA"/>
    <w:rsid w:val="00782ABD"/>
    <w:rsid w:val="00786837"/>
    <w:rsid w:val="007E5CA3"/>
    <w:rsid w:val="007F0D8E"/>
    <w:rsid w:val="007F3A78"/>
    <w:rsid w:val="007F7B7E"/>
    <w:rsid w:val="00817783"/>
    <w:rsid w:val="00835018"/>
    <w:rsid w:val="00850561"/>
    <w:rsid w:val="008560BD"/>
    <w:rsid w:val="008603FF"/>
    <w:rsid w:val="00861123"/>
    <w:rsid w:val="008673D3"/>
    <w:rsid w:val="0087009A"/>
    <w:rsid w:val="00881B5C"/>
    <w:rsid w:val="008A6179"/>
    <w:rsid w:val="008E63AF"/>
    <w:rsid w:val="009006DC"/>
    <w:rsid w:val="00915F63"/>
    <w:rsid w:val="00923474"/>
    <w:rsid w:val="0093238E"/>
    <w:rsid w:val="00932B01"/>
    <w:rsid w:val="00940744"/>
    <w:rsid w:val="00942517"/>
    <w:rsid w:val="009441F5"/>
    <w:rsid w:val="00955781"/>
    <w:rsid w:val="00967FAA"/>
    <w:rsid w:val="009725FD"/>
    <w:rsid w:val="00990538"/>
    <w:rsid w:val="009B32D2"/>
    <w:rsid w:val="009D27A1"/>
    <w:rsid w:val="009D733B"/>
    <w:rsid w:val="009F6095"/>
    <w:rsid w:val="009F7F65"/>
    <w:rsid w:val="00A05CFA"/>
    <w:rsid w:val="00A42E4E"/>
    <w:rsid w:val="00A47920"/>
    <w:rsid w:val="00A54E91"/>
    <w:rsid w:val="00A707D8"/>
    <w:rsid w:val="00A938D5"/>
    <w:rsid w:val="00A948F3"/>
    <w:rsid w:val="00A95CE2"/>
    <w:rsid w:val="00A9640F"/>
    <w:rsid w:val="00AC273E"/>
    <w:rsid w:val="00AF1A46"/>
    <w:rsid w:val="00B103DE"/>
    <w:rsid w:val="00B2074B"/>
    <w:rsid w:val="00B2315F"/>
    <w:rsid w:val="00B2762F"/>
    <w:rsid w:val="00B30429"/>
    <w:rsid w:val="00B308B8"/>
    <w:rsid w:val="00B43D3D"/>
    <w:rsid w:val="00B43FB8"/>
    <w:rsid w:val="00B7612C"/>
    <w:rsid w:val="00BB1087"/>
    <w:rsid w:val="00BB36AA"/>
    <w:rsid w:val="00BB7D3F"/>
    <w:rsid w:val="00BC5729"/>
    <w:rsid w:val="00BE0F0E"/>
    <w:rsid w:val="00BE4767"/>
    <w:rsid w:val="00BF21F0"/>
    <w:rsid w:val="00C02BEB"/>
    <w:rsid w:val="00C06C6D"/>
    <w:rsid w:val="00C3163A"/>
    <w:rsid w:val="00C371E2"/>
    <w:rsid w:val="00C502D1"/>
    <w:rsid w:val="00C66E7D"/>
    <w:rsid w:val="00C7510F"/>
    <w:rsid w:val="00C77446"/>
    <w:rsid w:val="00CA3C9F"/>
    <w:rsid w:val="00D00878"/>
    <w:rsid w:val="00D07B72"/>
    <w:rsid w:val="00D1773B"/>
    <w:rsid w:val="00D22D20"/>
    <w:rsid w:val="00D24F36"/>
    <w:rsid w:val="00D262B1"/>
    <w:rsid w:val="00D2716A"/>
    <w:rsid w:val="00D4398E"/>
    <w:rsid w:val="00D51D78"/>
    <w:rsid w:val="00D53A1E"/>
    <w:rsid w:val="00D56DF0"/>
    <w:rsid w:val="00D65A10"/>
    <w:rsid w:val="00D727AB"/>
    <w:rsid w:val="00D85E96"/>
    <w:rsid w:val="00DA39AC"/>
    <w:rsid w:val="00DA4D8D"/>
    <w:rsid w:val="00DB4E11"/>
    <w:rsid w:val="00DE629C"/>
    <w:rsid w:val="00DF1C54"/>
    <w:rsid w:val="00DF1CE5"/>
    <w:rsid w:val="00E42819"/>
    <w:rsid w:val="00E50051"/>
    <w:rsid w:val="00E607EE"/>
    <w:rsid w:val="00E64090"/>
    <w:rsid w:val="00E67F0C"/>
    <w:rsid w:val="00E8259E"/>
    <w:rsid w:val="00E84B3B"/>
    <w:rsid w:val="00E8647C"/>
    <w:rsid w:val="00EA70A2"/>
    <w:rsid w:val="00EB09B8"/>
    <w:rsid w:val="00EB1E9B"/>
    <w:rsid w:val="00EC344E"/>
    <w:rsid w:val="00EC78E1"/>
    <w:rsid w:val="00EE6112"/>
    <w:rsid w:val="00EF1BC9"/>
    <w:rsid w:val="00EF4AA2"/>
    <w:rsid w:val="00F0497C"/>
    <w:rsid w:val="00F21A67"/>
    <w:rsid w:val="00F315F8"/>
    <w:rsid w:val="00F33275"/>
    <w:rsid w:val="00F35021"/>
    <w:rsid w:val="00F3533A"/>
    <w:rsid w:val="00F35406"/>
    <w:rsid w:val="00F444EB"/>
    <w:rsid w:val="00F703E7"/>
    <w:rsid w:val="00F71458"/>
    <w:rsid w:val="00F7188C"/>
    <w:rsid w:val="00F77D22"/>
    <w:rsid w:val="00FC3D22"/>
    <w:rsid w:val="00FC79F2"/>
    <w:rsid w:val="00FD0B47"/>
    <w:rsid w:val="00FD49EC"/>
    <w:rsid w:val="00FE31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52225"/>
    <o:shapelayout v:ext="edit">
      <o:idmap v:ext="edit" data="1"/>
    </o:shapelayout>
  </w:shapeDefaults>
  <w:decimalSymbol w:val="."/>
  <w:listSeparator w:val=","/>
  <w15:docId w15:val="{5E26AF02-895D-420E-A0CD-E7D531DBF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link w:val="BodyTextChar"/>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A47920"/>
    <w:rPr>
      <w:sz w:val="24"/>
    </w:rPr>
  </w:style>
  <w:style w:type="character" w:styleId="FollowedHyperlink">
    <w:name w:val="FollowedHyperlink"/>
    <w:basedOn w:val="DefaultParagraphFont"/>
    <w:semiHidden/>
    <w:unhideWhenUsed/>
    <w:rsid w:val="00B2074B"/>
    <w:rPr>
      <w:color w:val="800080" w:themeColor="followedHyperlink"/>
      <w:u w:val="single"/>
    </w:rPr>
  </w:style>
  <w:style w:type="paragraph" w:styleId="ListParagraph">
    <w:name w:val="List Paragraph"/>
    <w:basedOn w:val="Normal"/>
    <w:uiPriority w:val="34"/>
    <w:qFormat/>
    <w:rsid w:val="00A707D8"/>
    <w:pPr>
      <w:ind w:left="720"/>
      <w:contextualSpacing/>
    </w:pPr>
  </w:style>
  <w:style w:type="paragraph" w:styleId="Caption">
    <w:name w:val="caption"/>
    <w:basedOn w:val="Normal"/>
    <w:next w:val="Normal"/>
    <w:qFormat/>
    <w:rsid w:val="00A707D8"/>
    <w:pPr>
      <w:spacing w:before="360" w:after="120"/>
    </w:pPr>
    <w:rPr>
      <w:b/>
      <w:caps/>
      <w:sz w:val="22"/>
    </w:rPr>
  </w:style>
  <w:style w:type="paragraph" w:styleId="FootnoteText">
    <w:name w:val="footnote text"/>
    <w:basedOn w:val="Normal"/>
    <w:link w:val="FootnoteTextChar"/>
    <w:semiHidden/>
    <w:unhideWhenUsed/>
    <w:rsid w:val="00A707D8"/>
  </w:style>
  <w:style w:type="character" w:customStyle="1" w:styleId="FootnoteTextChar">
    <w:name w:val="Footnote Text Char"/>
    <w:basedOn w:val="DefaultParagraphFont"/>
    <w:link w:val="FootnoteText"/>
    <w:semiHidden/>
    <w:rsid w:val="00A707D8"/>
  </w:style>
  <w:style w:type="character" w:styleId="FootnoteReference">
    <w:name w:val="footnote reference"/>
    <w:basedOn w:val="DefaultParagraphFont"/>
    <w:semiHidden/>
    <w:unhideWhenUsed/>
    <w:rsid w:val="00A707D8"/>
    <w:rPr>
      <w:vertAlign w:val="superscript"/>
    </w:rPr>
  </w:style>
  <w:style w:type="paragraph" w:styleId="BalloonText">
    <w:name w:val="Balloon Text"/>
    <w:basedOn w:val="Normal"/>
    <w:link w:val="BalloonTextChar"/>
    <w:semiHidden/>
    <w:unhideWhenUsed/>
    <w:rsid w:val="00FC3D22"/>
    <w:rPr>
      <w:rFonts w:ascii="Segoe UI" w:hAnsi="Segoe UI" w:cs="Segoe UI"/>
      <w:sz w:val="18"/>
      <w:szCs w:val="18"/>
    </w:rPr>
  </w:style>
  <w:style w:type="character" w:customStyle="1" w:styleId="BalloonTextChar">
    <w:name w:val="Balloon Text Char"/>
    <w:basedOn w:val="DefaultParagraphFont"/>
    <w:link w:val="BalloonText"/>
    <w:semiHidden/>
    <w:rsid w:val="00FC3D2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4476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john.dawson@dep.state.fl.us" TargetMode="External"/><Relationship Id="rId10" Type="http://schemas.openxmlformats.org/officeDocument/2006/relationships/image" Target="media/image3.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pubs.usgs.gov/fs/fs095-01/fs095-01.html"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epa.gov/nsr/documents/20140724memo.pdf" TargetMode="External"/><Relationship Id="rId1" Type="http://schemas.openxmlformats.org/officeDocument/2006/relationships/hyperlink" Target="http://www.supremecourt.gov/opinions/13pdf/12-1146_4g18.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E0862C-1F73-499E-9091-392C1D7C6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1498</TotalTime>
  <Pages>10</Pages>
  <Words>3559</Words>
  <Characters>19703</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23216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44</cp:revision>
  <cp:lastPrinted>2014-10-16T18:28:00Z</cp:lastPrinted>
  <dcterms:created xsi:type="dcterms:W3CDTF">2014-07-21T15:40:00Z</dcterms:created>
  <dcterms:modified xsi:type="dcterms:W3CDTF">2014-11-14T16:33:00Z</dcterms:modified>
</cp:coreProperties>
</file>